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1200" w:after="200"/>
      </w:pPr>
      <w:r>
        <w:rPr>
          <w:rFonts w:ascii="微软雅黑" w:hAnsi="微软雅黑" w:eastAsia="微软雅黑"/>
          <w:b/>
          <w:caps/>
          <w:spacing w:val="60"/>
          <w:color w:val="C4362A"/>
          <w:sz w:val="18"/>
          <w:szCs w:val="18"/>
        </w:rPr>
        <w:t xml:space="preserve">项目建议书 · PROPOSAL</w:t>
      </w:r>
    </w:p>
    <w:p>
      <w:pPr>
        <w:spacing w:after="160" w:line="280" w:lineRule="auto"/>
      </w:pPr>
      <w:r>
        <w:rPr>
          <w:rFonts w:ascii="宋体" w:hAnsi="宋体" w:eastAsia="宋体"/>
          <w:b/>
          <w:color w:val="12110E"/>
          <w:sz w:val="64"/>
          <w:szCs w:val="64"/>
        </w:rPr>
        <w:t xml:space="preserve">XX 品牌视觉整体建设方案</w:t>
      </w:r>
    </w:p>
    <w:p>
      <w:pPr>
        <w:spacing w:after="600" w:line="360" w:lineRule="auto"/>
      </w:pPr>
      <w:r>
        <w:rPr>
          <w:rFonts w:ascii="微软雅黑" w:hAnsi="微软雅黑" w:eastAsia="微软雅黑"/>
          <w:color w:val="403D36"/>
          <w:sz w:val="22"/>
          <w:szCs w:val="22"/>
        </w:rPr>
        <w:t xml:space="preserve">一份关于品牌定位、视觉体系与落地应用的完整提案。以秩序为骨、以简净为面、以一处朱红为神，为 XX 项目提供从策略到执行的系统化解决方案。</w:t>
      </w:r>
    </w:p>
    <w:tbl>
      <w:tblPr>
        <w:tblW w:w="9070" w:type="dxa"/>
        <w:tblBorders>
          <w:top w:val="single" w:sz="4" w:color="D8D4CA"/>
          <w:left w:val="none" w:sz="0" w:color="auto"/>
          <w:bottom w:val="single" w:sz="4" w:color="D8D4CA"/>
          <w:right w:val="none" w:sz="0" w:color="auto"/>
          <w:insideH w:val="single" w:sz="4" w:color="E4DFD4"/>
          <w:insideV w:val="none" w:sz="0" w:color="auto"/>
        </w:tblBorders>
        <w:tblCellMar>
          <w:top w:w="120" w:type="dxa"/>
          <w:bottom w:w="120" w:type="dxa"/>
          <w:left w:w="120" w:type="dxa"/>
          <w:right w:w="120" w:type="dxa"/>
        </w:tblCellMar>
        <w:tblLook w:val="0420"/>
      </w:tblPr>
      <w:tblGrid>
        <w:gridCol w:w="2400"/>
        <w:gridCol w:w="6670"/>
      </w:tblGrid>
      <w:tr>
        <w:tc>
          <w:tcPr>
            <w:tcW w:w="2400" w:type="dxa"/>
            <w:vAlign w:val="center"/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9A968C"/>
                <w:sz w:val="16"/>
                <w:szCs w:val="16"/>
              </w:rPr>
              <w:t xml:space="preserve">呈送 / To</w:t>
            </w:r>
          </w:p>
        </w:tc>
        <w:tc>
          <w:tcPr>
            <w:tcW w:w="6670" w:type="dxa"/>
            <w:vAlign w:val="center"/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sz w:val="20"/>
                <w:szCs w:val="20"/>
              </w:rPr>
              <w:t xml:space="preserve">XXXX 有限公司</w:t>
            </w:r>
          </w:p>
        </w:tc>
      </w:tr>
      <w:tr>
        <w:tc>
          <w:tcPr>
            <w:tcW w:w="2400" w:type="dxa"/>
            <w:vAlign w:val="center"/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9A968C"/>
                <w:sz w:val="16"/>
                <w:szCs w:val="16"/>
              </w:rPr>
              <w:t xml:space="preserve">编制 / By</w:t>
            </w:r>
          </w:p>
        </w:tc>
        <w:tc>
          <w:tcPr>
            <w:tcW w:w="6670" w:type="dxa"/>
            <w:vAlign w:val="center"/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sz w:val="20"/>
                <w:szCs w:val="20"/>
              </w:rPr>
              <w:t xml:space="preserve">邬晓峰工作室</w:t>
            </w:r>
          </w:p>
        </w:tc>
      </w:tr>
      <w:tr>
        <w:tc>
          <w:tcPr>
            <w:tcW w:w="2400" w:type="dxa"/>
            <w:vAlign w:val="center"/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9A968C"/>
                <w:sz w:val="16"/>
                <w:szCs w:val="16"/>
              </w:rPr>
              <w:t xml:space="preserve">日期 / Date</w:t>
            </w:r>
          </w:p>
        </w:tc>
        <w:tc>
          <w:tcPr>
            <w:tcW w:w="6670" w:type="dxa"/>
            <w:vAlign w:val="center"/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sz w:val="20"/>
                <w:szCs w:val="20"/>
              </w:rPr>
              <w:t xml:space="preserve">2026.07</w:t>
            </w:r>
          </w:p>
        </w:tc>
      </w:tr>
      <w:tr>
        <w:tc>
          <w:tcPr>
            <w:tcW w:w="2400" w:type="dxa"/>
            <w:vAlign w:val="center"/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9A968C"/>
                <w:sz w:val="16"/>
                <w:szCs w:val="16"/>
              </w:rPr>
              <w:t xml:space="preserve">编号 / No.</w:t>
            </w:r>
          </w:p>
        </w:tc>
        <w:tc>
          <w:tcPr>
            <w:tcW w:w="6670" w:type="dxa"/>
            <w:vAlign w:val="center"/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sz w:val="20"/>
                <w:szCs w:val="20"/>
              </w:rPr>
              <w:t xml:space="preserve">WXF-2026-001</w:t>
            </w:r>
          </w:p>
        </w:tc>
      </w:tr>
    </w:tbl>
    <w:p>
      <w:r>
        <w:br w:type="page"/>
      </w:r>
    </w:p>
    <w:p>
      <w:pPr>
        <w:spacing w:after="40"/>
      </w:pPr>
      <w:r>
        <w:rPr>
          <w:rFonts w:ascii="宋体" w:hAnsi="宋体" w:eastAsia="微软雅黑"/>
          <w:caps/>
          <w:spacing w:val="40"/>
          <w:color w:val="C4362A"/>
          <w:sz w:val="16"/>
          <w:szCs w:val="16"/>
        </w:rPr>
        <w:t xml:space="preserve">DOCUMENT CONTROL</w:t>
      </w:r>
    </w:p>
    <w:p>
      <w:pPr>
        <w:spacing w:after="300"/>
      </w:pPr>
      <w:r>
        <w:rPr>
          <w:rFonts w:ascii="宋体" w:hAnsi="宋体" w:eastAsia="宋体"/>
          <w:b/>
          <w:color w:val="12110E"/>
          <w:sz w:val="40"/>
          <w:szCs w:val="40"/>
        </w:rPr>
        <w:t xml:space="preserve">文档信息</w:t>
      </w:r>
    </w:p>
    <w:tbl>
      <w:tblPr>
        <w:tblW w:w="9070" w:type="dxa"/>
        <w:tblBorders>
          <w:top w:val="single" w:sz="4" w:color="D8D4CA"/>
          <w:left w:val="none" w:sz="0" w:color="auto"/>
          <w:bottom w:val="single" w:sz="4" w:color="D8D4CA"/>
          <w:right w:val="none" w:sz="0" w:color="auto"/>
          <w:insideH w:val="single" w:sz="4" w:color="E4DFD4"/>
          <w:insideV w:val="none" w:sz="0" w:color="auto"/>
        </w:tblBorders>
        <w:tblCellMar>
          <w:top w:w="120" w:type="dxa"/>
          <w:bottom w:w="120" w:type="dxa"/>
          <w:left w:w="120" w:type="dxa"/>
          <w:right w:w="120" w:type="dxa"/>
        </w:tblCellMar>
        <w:tblLook w:val="0420"/>
      </w:tblPr>
      <w:tblGrid>
        <w:gridCol w:w="1400"/>
        <w:gridCol w:w="2000"/>
        <w:gridCol w:w="3600"/>
        <w:gridCol w:w="2070"/>
      </w:tblGrid>
      <w:tr>
        <w:tc>
          <w:tcPr>
            <w:tcW w:w="1400" w:type="dxa"/>
            <w:shd w:val="clear" w:color="auto" w:fill="12110E"/>
            <w:vAlign w:val="center"/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FFFFFF"/>
                <w:sz w:val="18"/>
                <w:szCs w:val="18"/>
              </w:rPr>
              <w:t xml:space="preserve">版本</w:t>
            </w:r>
          </w:p>
        </w:tc>
        <w:tc>
          <w:tcPr>
            <w:tcW w:w="2000" w:type="dxa"/>
            <w:shd w:val="clear" w:color="auto" w:fill="12110E"/>
            <w:vAlign w:val="center"/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FFFFFF"/>
                <w:sz w:val="18"/>
                <w:szCs w:val="18"/>
              </w:rPr>
              <w:t xml:space="preserve">日期</w:t>
            </w:r>
          </w:p>
        </w:tc>
        <w:tc>
          <w:tcPr>
            <w:tcW w:w="3600" w:type="dxa"/>
            <w:shd w:val="clear" w:color="auto" w:fill="12110E"/>
            <w:vAlign w:val="center"/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FFFFFF"/>
                <w:sz w:val="18"/>
                <w:szCs w:val="18"/>
              </w:rPr>
              <w:t xml:space="preserve">修订说明</w:t>
            </w:r>
          </w:p>
        </w:tc>
        <w:tc>
          <w:tcPr>
            <w:tcW w:w="2070" w:type="dxa"/>
            <w:shd w:val="clear" w:color="auto" w:fill="12110E"/>
            <w:vAlign w:val="center"/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FFFFFF"/>
                <w:sz w:val="18"/>
                <w:szCs w:val="18"/>
              </w:rPr>
              <w:t xml:space="preserve">编写 / 审核</w:t>
            </w:r>
          </w:p>
        </w:tc>
      </w:tr>
      <w:tr>
        <w:tc>
          <w:tcPr>
            <w:tcW w:w="1400" w:type="dxa"/>
            <w:vAlign w:val="center"/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C4362A"/>
              </w:rPr>
              <w:t xml:space="preserve">V0.1</w:t>
            </w:r>
          </w:p>
        </w:tc>
        <w:tc>
          <w:tcPr>
            <w:tcW w:w="2000" w:type="dxa"/>
            <w:vAlign w:val="center"/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</w:rPr>
              <w:t xml:space="preserve">2026.06.20</w:t>
            </w:r>
          </w:p>
        </w:tc>
        <w:tc>
          <w:tcPr>
            <w:tcW w:w="3600" w:type="dxa"/>
            <w:vAlign w:val="center"/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</w:rPr>
              <w:t xml:space="preserve">初稿框架搭建</w:t>
            </w:r>
          </w:p>
        </w:tc>
        <w:tc>
          <w:tcPr>
            <w:tcW w:w="2070" w:type="dxa"/>
            <w:vAlign w:val="center"/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</w:rPr>
              <w:t xml:space="preserve">邬晓峰</w:t>
            </w:r>
          </w:p>
        </w:tc>
      </w:tr>
      <w:tr>
        <w:tc>
          <w:tcPr>
            <w:tcW w:w="1400" w:type="dxa"/>
            <w:vAlign w:val="center"/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C4362A"/>
              </w:rPr>
              <w:t xml:space="preserve">V0.5</w:t>
            </w:r>
          </w:p>
        </w:tc>
        <w:tc>
          <w:tcPr>
            <w:tcW w:w="2000" w:type="dxa"/>
            <w:vAlign w:val="center"/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</w:rPr>
              <w:t xml:space="preserve">2026.07.02</w:t>
            </w:r>
          </w:p>
        </w:tc>
        <w:tc>
          <w:tcPr>
            <w:tcW w:w="3600" w:type="dxa"/>
            <w:vAlign w:val="center"/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</w:rPr>
              <w:t xml:space="preserve">补充方案与预算章节</w:t>
            </w:r>
          </w:p>
        </w:tc>
        <w:tc>
          <w:tcPr>
            <w:tcW w:w="2070" w:type="dxa"/>
            <w:vAlign w:val="center"/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</w:rPr>
              <w:t xml:space="preserve">邬晓峰 / 李工</w:t>
            </w:r>
          </w:p>
        </w:tc>
      </w:tr>
      <w:tr>
        <w:tc>
          <w:tcPr>
            <w:tcW w:w="1400" w:type="dxa"/>
            <w:vAlign w:val="center"/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C4362A"/>
              </w:rPr>
              <w:t xml:space="preserve">V1.0</w:t>
            </w:r>
          </w:p>
        </w:tc>
        <w:tc>
          <w:tcPr>
            <w:tcW w:w="2000" w:type="dxa"/>
            <w:vAlign w:val="center"/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</w:rPr>
              <w:t xml:space="preserve">2026.07.13</w:t>
            </w:r>
          </w:p>
        </w:tc>
        <w:tc>
          <w:tcPr>
            <w:tcW w:w="3600" w:type="dxa"/>
            <w:vAlign w:val="center"/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</w:rPr>
              <w:t xml:space="preserve">正式提交版本</w:t>
            </w:r>
          </w:p>
        </w:tc>
        <w:tc>
          <w:tcPr>
            <w:tcW w:w="2070" w:type="dxa"/>
            <w:vAlign w:val="center"/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</w:rPr>
              <w:t xml:space="preserve">邬晓峰</w:t>
            </w:r>
          </w:p>
        </w:tc>
      </w:tr>
    </w:tbl>
    <w:p>
      <w:pPr>
        <w:pStyle w:val="Heading2"/>
        <w:spacing w:before="300"/>
      </w:pPr>
      <w:r>
        <w:rPr>
          <w:rFonts w:ascii="微软雅黑" w:hAnsi="微软雅黑" w:eastAsia="微软雅黑"/>
          <w:b/>
          <w:sz w:val="22"/>
          <w:szCs w:val="22"/>
        </w:rPr>
        <w:t xml:space="preserve">保密声明</w:t>
      </w:r>
    </w:p>
    <w:p>
      <w:pPr>
        <w:spacing w:after="120" w:line="340" w:lineRule="auto"/>
      </w:pPr>
      <w:r>
        <w:rPr>
          <w:rFonts w:ascii="微软雅黑" w:hAnsi="微软雅黑" w:eastAsia="微软雅黑"/>
          <w:color w:val="403D36"/>
          <w:sz w:val="21"/>
          <w:szCs w:val="21"/>
        </w:rPr>
        <w:t xml:space="preserve">本文档包含邬晓峰工作室的商业机密信息，仅供指定接收方在评估本提案之目的范围内使用。未经书面许可，不得复制、传播或向第三方披露本文档的任何部分。</w:t>
      </w:r>
    </w:p>
    <w:p>
      <w:pPr>
        <w:spacing w:after="120"/>
      </w:pPr>
      <w:r>
        <w:rPr>
          <w:rFonts w:ascii="微软雅黑" w:hAnsi="微软雅黑" w:eastAsia="微软雅黑"/>
          <w:b/>
          <w:sz w:val="20"/>
          <w:szCs w:val="20"/>
        </w:rPr>
        <w:t xml:space="preserve">联系方式　</w:t>
      </w:r>
      <w:r>
        <w:rPr>
          <w:rFonts w:ascii="微软雅黑" w:hAnsi="微软雅黑" w:eastAsia="微软雅黑"/>
          <w:color w:val="403D36"/>
          <w:sz w:val="20"/>
          <w:szCs w:val="20"/>
        </w:rPr>
        <w:t xml:space="preserve">邬晓峰　hello@wuxiaofeng.studio　+86 138 0000 0000</w:t>
      </w:r>
    </w:p>
    <w:p>
      <w:r>
        <w:br w:type="page"/>
      </w:r>
    </w:p>
    <w:p>
      <w:pPr>
        <w:spacing w:after="40"/>
      </w:pPr>
      <w:r>
        <w:rPr>
          <w:rFonts w:ascii="宋体" w:hAnsi="宋体" w:eastAsia="微软雅黑"/>
          <w:caps/>
          <w:spacing w:val="40"/>
          <w:color w:val="C4362A"/>
          <w:sz w:val="16"/>
          <w:szCs w:val="16"/>
        </w:rPr>
        <w:t xml:space="preserve">CONTENTS</w:t>
      </w:r>
    </w:p>
    <w:p>
      <w:pPr>
        <w:spacing w:after="240"/>
      </w:pPr>
      <w:r>
        <w:rPr>
          <w:rFonts w:ascii="宋体" w:hAnsi="宋体" w:eastAsia="宋体"/>
          <w:b/>
          <w:color w:val="12110E"/>
          <w:sz w:val="40"/>
          <w:szCs w:val="40"/>
        </w:rPr>
        <w:t xml:space="preserve">目录</w:t>
      </w:r>
    </w:p>
    <w:p>
      <w:pPr>
        <w:spacing w:after="120"/>
      </w:pPr>
      <w:r>
        <w:fldChar w:fldCharType="begin"/>
      </w:r>
      <w:r>
        <w:instrText xml:space="preserve"> TOC \o "1-1" \h \z \u </w:instrText>
      </w:r>
      <w:r>
        <w:fldChar w:fldCharType="separate"/>
      </w:r>
      <w:r>
        <w:rPr>
          <w:rFonts w:ascii="微软雅黑" w:hAnsi="微软雅黑" w:eastAsia="微软雅黑"/>
          <w:color w:val="9A968C"/>
          <w:sz w:val="20"/>
          <w:szCs w:val="20"/>
        </w:rPr>
        <w:t xml:space="preserve">目录将在此生成——右键点击此处选择"更新域"即可显示各章节与页码。</w:t>
      </w:r>
      <w:r>
        <w:fldChar w:fldCharType="end"/>
      </w:r>
    </w:p>
    <w:p>
      <w:pPr>
        <w:pStyle w:val="Heading1"/>
      </w:pPr>
      <w:r>
        <w:rPr>
          <w:rFonts w:ascii="宋体" w:hAnsi="宋体" w:eastAsia="宋体"/>
          <w:color w:val="C4362A"/>
          <w:sz w:val="34"/>
          <w:szCs w:val="34"/>
        </w:rPr>
        <w:t xml:space="preserve">01　</w:t>
      </w:r>
      <w:r>
        <w:rPr>
          <w:rFonts w:ascii="宋体" w:hAnsi="宋体" w:eastAsia="宋体"/>
          <w:b/>
          <w:sz w:val="34"/>
          <w:szCs w:val="34"/>
        </w:rPr>
        <w:t xml:space="preserve">项目背景与现状</w:t>
      </w:r>
    </w:p>
    <w:p>
      <w:pPr>
        <w:spacing w:after="200"/>
      </w:pPr>
      <w:r>
        <w:rPr>
          <w:rFonts w:ascii="微软雅黑" w:hAnsi="微软雅黑" w:eastAsia="微软雅黑"/>
          <w:caps/>
          <w:spacing w:val="40"/>
          <w:color w:val="9A968C"/>
          <w:sz w:val="16"/>
          <w:szCs w:val="16"/>
        </w:rPr>
        <w:t xml:space="preserve">Background &amp; Current Status</w:t>
      </w:r>
    </w:p>
    <w:p>
      <w:pPr>
        <w:pStyle w:val="Heading2"/>
      </w:pPr>
      <w:r>
        <w:rPr>
          <w:rFonts w:ascii="微软雅黑" w:hAnsi="微软雅黑" w:eastAsia="微软雅黑"/>
          <w:b/>
          <w:sz w:val="26"/>
          <w:szCs w:val="26"/>
        </w:rPr>
        <w:t xml:space="preserve">1.1 背景概述</w:t>
      </w:r>
    </w:p>
    <w:p>
      <w:pPr>
        <w:spacing w:after="120" w:line="340" w:lineRule="auto"/>
      </w:pPr>
      <w:r>
        <w:rPr>
          <w:rFonts w:ascii="微软雅黑" w:hAnsi="微软雅黑" w:eastAsia="微软雅黑"/>
          <w:color w:val="403D36"/>
          <w:sz w:val="21"/>
          <w:szCs w:val="21"/>
        </w:rPr>
        <w:t xml:space="preserve">随着市场竞争加剧与消费者审美不断提升，品牌的视觉表达已从"有没有"进入"好不好"的阶段。XX 作为行业内具备成长潜力的企业，现有视觉体系存在标识零散、风格不统一、跨渠道应用缺乏规范等问题，难以支撑其业务扩张与品牌升级的诉求。</w:t>
      </w:r>
    </w:p>
    <w:p>
      <w:pPr>
        <w:spacing w:after="120" w:line="340" w:lineRule="auto"/>
      </w:pPr>
      <w:r>
        <w:rPr>
          <w:rFonts w:ascii="微软雅黑" w:hAnsi="微软雅黑" w:eastAsia="微软雅黑"/>
          <w:color w:val="403D36"/>
          <w:sz w:val="21"/>
          <w:szCs w:val="21"/>
        </w:rPr>
        <w:t xml:space="preserve">本项目旨在为 XX 建立一套完整、可延展、易执行的品牌视觉系统，从核心标识到应用规范全面梳理，助力品牌在各触点形成一致而有辨识度的形象。</w:t>
      </w:r>
    </w:p>
    <w:p>
      <w:pPr>
        <w:pStyle w:val="Heading2"/>
      </w:pPr>
      <w:r>
        <w:rPr>
          <w:rFonts w:ascii="微软雅黑" w:hAnsi="微软雅黑" w:eastAsia="微软雅黑"/>
          <w:b/>
          <w:sz w:val="26"/>
          <w:szCs w:val="26"/>
        </w:rPr>
        <w:t xml:space="preserve">1.2 现状痛点</w:t>
      </w:r>
    </w:p>
    <w:p>
      <w:pPr>
        <w:spacing w:after="60" w:line="320" w:lineRule="auto"/>
      </w:pPr>
      <w:r>
        <w:rPr>
          <w:rFonts w:ascii="微软雅黑" w:hAnsi="微软雅黑" w:eastAsia="微软雅黑"/>
          <w:b/>
          <w:color w:val="C4362A"/>
          <w:sz w:val="21"/>
          <w:szCs w:val="21"/>
        </w:rPr>
        <w:t xml:space="preserve">—  </w:t>
      </w:r>
      <w:r>
        <w:rPr>
          <w:rFonts w:ascii="微软雅黑" w:hAnsi="微软雅黑" w:eastAsia="微软雅黑"/>
          <w:color w:val="403D36"/>
          <w:sz w:val="21"/>
          <w:szCs w:val="21"/>
        </w:rPr>
        <w:t xml:space="preserve">标识不统一：多版本 Logo 并存，比例与配色缺乏统一标准，削弱品牌识别度。</w:t>
      </w:r>
    </w:p>
    <w:p>
      <w:pPr>
        <w:spacing w:after="60" w:line="320" w:lineRule="auto"/>
      </w:pPr>
      <w:r>
        <w:rPr>
          <w:rFonts w:ascii="微软雅黑" w:hAnsi="微软雅黑" w:eastAsia="微软雅黑"/>
          <w:b/>
          <w:color w:val="C4362A"/>
          <w:sz w:val="21"/>
          <w:szCs w:val="21"/>
        </w:rPr>
        <w:t xml:space="preserve">—  </w:t>
      </w:r>
      <w:r>
        <w:rPr>
          <w:rFonts w:ascii="微软雅黑" w:hAnsi="微软雅黑" w:eastAsia="微软雅黑"/>
          <w:color w:val="403D36"/>
          <w:sz w:val="21"/>
          <w:szCs w:val="21"/>
        </w:rPr>
        <w:t xml:space="preserve">规范缺失：缺乏字体、色彩、间距的系统规范，物料制作效率低、返工多。</w:t>
      </w:r>
    </w:p>
    <w:p>
      <w:pPr>
        <w:spacing w:after="60" w:line="320" w:lineRule="auto"/>
      </w:pPr>
      <w:r>
        <w:rPr>
          <w:rFonts w:ascii="微软雅黑" w:hAnsi="微软雅黑" w:eastAsia="微软雅黑"/>
          <w:b/>
          <w:color w:val="C4362A"/>
          <w:sz w:val="21"/>
          <w:szCs w:val="21"/>
        </w:rPr>
        <w:t xml:space="preserve">—  </w:t>
      </w:r>
      <w:r>
        <w:rPr>
          <w:rFonts w:ascii="微软雅黑" w:hAnsi="微软雅黑" w:eastAsia="微软雅黑"/>
          <w:color w:val="403D36"/>
          <w:sz w:val="21"/>
          <w:szCs w:val="21"/>
        </w:rPr>
        <w:t xml:space="preserve">应用割裂：线上线下视觉脱节，跨渠道体验不一致，难以沉淀品牌资产。</w:t>
      </w:r>
    </w:p>
    <w:p>
      <w:pPr>
        <w:pStyle w:val="Heading2"/>
      </w:pPr>
      <w:r>
        <w:rPr>
          <w:rFonts w:ascii="微软雅黑" w:hAnsi="微软雅黑" w:eastAsia="微软雅黑"/>
          <w:b/>
          <w:sz w:val="26"/>
          <w:szCs w:val="26"/>
        </w:rPr>
        <w:t xml:space="preserve">1.3 市场机遇</w:t>
      </w:r>
    </w:p>
    <w:p>
      <w:pPr>
        <w:spacing w:after="60" w:line="320" w:lineRule="auto"/>
      </w:pPr>
      <w:r>
        <w:rPr>
          <w:rFonts w:ascii="微软雅黑" w:hAnsi="微软雅黑" w:eastAsia="微软雅黑"/>
          <w:b/>
          <w:color w:val="C4362A"/>
          <w:sz w:val="21"/>
          <w:szCs w:val="21"/>
        </w:rPr>
        <w:t xml:space="preserve">—  </w:t>
      </w:r>
      <w:r>
        <w:rPr>
          <w:rFonts w:ascii="微软雅黑" w:hAnsi="微软雅黑" w:eastAsia="微软雅黑"/>
          <w:color w:val="403D36"/>
          <w:sz w:val="21"/>
          <w:szCs w:val="21"/>
        </w:rPr>
        <w:t xml:space="preserve">审美升级：消费者对品牌视觉的期待持续提高，优质设计成为差异化竞争的关键筹码。</w:t>
      </w:r>
    </w:p>
    <w:p>
      <w:pPr>
        <w:spacing w:after="60" w:line="320" w:lineRule="auto"/>
      </w:pPr>
      <w:r>
        <w:rPr>
          <w:rFonts w:ascii="微软雅黑" w:hAnsi="微软雅黑" w:eastAsia="微软雅黑"/>
          <w:b/>
          <w:color w:val="C4362A"/>
          <w:sz w:val="21"/>
          <w:szCs w:val="21"/>
        </w:rPr>
        <w:t xml:space="preserve">—  </w:t>
      </w:r>
      <w:r>
        <w:rPr>
          <w:rFonts w:ascii="微软雅黑" w:hAnsi="微软雅黑" w:eastAsia="微软雅黑"/>
          <w:color w:val="403D36"/>
          <w:sz w:val="21"/>
          <w:szCs w:val="21"/>
        </w:rPr>
        <w:t xml:space="preserve">渠道多元：线上线下触点激增，统一而灵活的视觉系统能显著提升传播效率。</w:t>
      </w:r>
    </w:p>
    <w:p>
      <w:pPr>
        <w:spacing w:after="60" w:line="320" w:lineRule="auto"/>
      </w:pPr>
      <w:r>
        <w:rPr>
          <w:rFonts w:ascii="微软雅黑" w:hAnsi="微软雅黑" w:eastAsia="微软雅黑"/>
          <w:b/>
          <w:color w:val="C4362A"/>
          <w:sz w:val="21"/>
          <w:szCs w:val="21"/>
        </w:rPr>
        <w:t xml:space="preserve">—  </w:t>
      </w:r>
      <w:r>
        <w:rPr>
          <w:rFonts w:ascii="微软雅黑" w:hAnsi="微软雅黑" w:eastAsia="微软雅黑"/>
          <w:color w:val="403D36"/>
          <w:sz w:val="21"/>
          <w:szCs w:val="21"/>
        </w:rPr>
        <w:t xml:space="preserve">资产沉淀：系统化的品牌规范可长期复用，将一次投入转化为持续的品牌资产。</w:t>
      </w:r>
    </w:p>
    <w:p>
      <w:pPr>
        <w:pStyle w:val="Heading1"/>
      </w:pPr>
      <w:r>
        <w:rPr>
          <w:rFonts w:ascii="宋体" w:hAnsi="宋体" w:eastAsia="宋体"/>
          <w:color w:val="C4362A"/>
          <w:sz w:val="34"/>
          <w:szCs w:val="34"/>
        </w:rPr>
        <w:t xml:space="preserve">02　</w:t>
      </w:r>
      <w:r>
        <w:rPr>
          <w:rFonts w:ascii="宋体" w:hAnsi="宋体" w:eastAsia="宋体"/>
          <w:b/>
          <w:sz w:val="34"/>
          <w:szCs w:val="34"/>
        </w:rPr>
        <w:t xml:space="preserve">目标与价值</w:t>
      </w:r>
    </w:p>
    <w:p>
      <w:pPr>
        <w:spacing w:after="200"/>
      </w:pPr>
      <w:r>
        <w:rPr>
          <w:rFonts w:ascii="微软雅黑" w:hAnsi="微软雅黑" w:eastAsia="微软雅黑"/>
          <w:caps/>
          <w:spacing w:val="40"/>
          <w:color w:val="9A968C"/>
          <w:sz w:val="16"/>
          <w:szCs w:val="16"/>
        </w:rPr>
        <w:t xml:space="preserve">Goals &amp; Value</w:t>
      </w:r>
    </w:p>
    <w:p>
      <w:pPr>
        <w:spacing w:after="220" w:line="360" w:lineRule="auto"/>
      </w:pPr>
      <w:r>
        <w:rPr>
          <w:rFonts w:ascii="宋体" w:hAnsi="宋体" w:eastAsia="宋体"/>
          <w:color w:val="12110E"/>
          <w:sz w:val="26"/>
          <w:szCs w:val="26"/>
        </w:rPr>
        <w:t xml:space="preserve">总目标：为 XX 建立一套</w:t>
      </w:r>
      <w:r>
        <w:rPr>
          <w:rFonts w:ascii="宋体" w:hAnsi="宋体" w:eastAsia="宋体"/>
          <w:color w:val="C4362A"/>
          <w:sz w:val="26"/>
          <w:szCs w:val="26"/>
        </w:rPr>
        <w:t xml:space="preserve">统一、可延展、易落地</w:t>
      </w:r>
      <w:r>
        <w:rPr>
          <w:rFonts w:ascii="宋体" w:hAnsi="宋体" w:eastAsia="宋体"/>
          <w:color w:val="12110E"/>
          <w:sz w:val="26"/>
          <w:szCs w:val="26"/>
        </w:rPr>
        <w:t xml:space="preserve">的品牌视觉系统，全面提升品牌辨识度与专业形象。</w:t>
      </w:r>
    </w:p>
    <w:p>
      <w:pPr>
        <w:pStyle w:val="Heading2"/>
      </w:pPr>
      <w:r>
        <w:rPr>
          <w:rFonts w:ascii="微软雅黑" w:hAnsi="微软雅黑" w:eastAsia="微软雅黑"/>
          <w:b/>
          <w:sz w:val="26"/>
          <w:szCs w:val="26"/>
        </w:rPr>
        <w:t xml:space="preserve">2.1 分项目标</w:t>
      </w:r>
    </w:p>
    <w:p>
      <w:pPr>
        <w:spacing w:after="60" w:line="320" w:lineRule="auto"/>
      </w:pPr>
      <w:r>
        <w:rPr>
          <w:rFonts w:ascii="微软雅黑" w:hAnsi="微软雅黑" w:eastAsia="微软雅黑"/>
          <w:b/>
          <w:color w:val="C4362A"/>
          <w:sz w:val="21"/>
          <w:szCs w:val="21"/>
        </w:rPr>
        <w:t xml:space="preserve">—  </w:t>
      </w:r>
      <w:r>
        <w:rPr>
          <w:rFonts w:ascii="微软雅黑" w:hAnsi="微软雅黑" w:eastAsia="微软雅黑"/>
          <w:color w:val="403D36"/>
          <w:sz w:val="21"/>
          <w:szCs w:val="21"/>
        </w:rPr>
        <w:t xml:space="preserve">G1 重塑核心标识：打造具有辨识度与延展性的品牌标志及标志系统。</w:t>
      </w:r>
    </w:p>
    <w:p>
      <w:pPr>
        <w:spacing w:after="60" w:line="320" w:lineRule="auto"/>
      </w:pPr>
      <w:r>
        <w:rPr>
          <w:rFonts w:ascii="微软雅黑" w:hAnsi="微软雅黑" w:eastAsia="微软雅黑"/>
          <w:b/>
          <w:color w:val="C4362A"/>
          <w:sz w:val="21"/>
          <w:szCs w:val="21"/>
        </w:rPr>
        <w:t xml:space="preserve">—  </w:t>
      </w:r>
      <w:r>
        <w:rPr>
          <w:rFonts w:ascii="微软雅黑" w:hAnsi="微软雅黑" w:eastAsia="微软雅黑"/>
          <w:color w:val="403D36"/>
          <w:sz w:val="21"/>
          <w:szCs w:val="21"/>
        </w:rPr>
        <w:t xml:space="preserve">G2 建立视觉规范：明确色彩、字体、栅格与图形语言的使用标准。</w:t>
      </w:r>
    </w:p>
    <w:p>
      <w:pPr>
        <w:spacing w:after="60" w:line="320" w:lineRule="auto"/>
      </w:pPr>
      <w:r>
        <w:rPr>
          <w:rFonts w:ascii="微软雅黑" w:hAnsi="微软雅黑" w:eastAsia="微软雅黑"/>
          <w:b/>
          <w:color w:val="C4362A"/>
          <w:sz w:val="21"/>
          <w:szCs w:val="21"/>
        </w:rPr>
        <w:t xml:space="preserve">—  </w:t>
      </w:r>
      <w:r>
        <w:rPr>
          <w:rFonts w:ascii="微软雅黑" w:hAnsi="微软雅黑" w:eastAsia="微软雅黑"/>
          <w:color w:val="403D36"/>
          <w:sz w:val="21"/>
          <w:szCs w:val="21"/>
        </w:rPr>
        <w:t xml:space="preserve">G3 覆盖关键应用：输出数字、印刷、周边等核心场景的应用模板。</w:t>
      </w:r>
    </w:p>
    <w:p>
      <w:pPr>
        <w:pStyle w:val="Heading2"/>
      </w:pPr>
      <w:r>
        <w:rPr>
          <w:rFonts w:ascii="微软雅黑" w:hAnsi="微软雅黑" w:eastAsia="微软雅黑"/>
          <w:b/>
          <w:sz w:val="26"/>
          <w:szCs w:val="26"/>
        </w:rPr>
        <w:t xml:space="preserve">2.2 价值指标</w:t>
      </w:r>
    </w:p>
    <w:tbl>
      <w:tblPr>
        <w:tblW w:w="9070" w:type="dxa"/>
        <w:tblBorders>
          <w:top w:val="single" w:sz="4" w:color="D8D4CA"/>
          <w:left w:val="none" w:sz="0" w:color="auto"/>
          <w:bottom w:val="single" w:sz="4" w:color="D8D4CA"/>
          <w:right w:val="none" w:sz="0" w:color="auto"/>
          <w:insideH w:val="single" w:sz="4" w:color="E4DFD4"/>
          <w:insideV w:val="none" w:sz="0" w:color="auto"/>
        </w:tblBorders>
        <w:tblCellMar>
          <w:top w:w="120" w:type="dxa"/>
          <w:bottom w:w="120" w:type="dxa"/>
          <w:left w:w="120" w:type="dxa"/>
          <w:right w:w="120" w:type="dxa"/>
        </w:tblCellMar>
        <w:tblLook w:val="0420"/>
      </w:tblPr>
      <w:tblGrid>
        <w:gridCol w:w="3400"/>
        <w:gridCol w:w="2200"/>
        <w:gridCol w:w="3470"/>
      </w:tblGrid>
      <w:tr>
        <w:tc>
          <w:tcPr>
            <w:tcW w:w="3400" w:type="dxa"/>
            <w:shd w:val="clear" w:color="auto" w:fill="12110E"/>
            <w:vAlign w:val="center"/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FFFFFF"/>
                <w:sz w:val="18"/>
                <w:szCs w:val="18"/>
              </w:rPr>
              <w:t xml:space="preserve">指标</w:t>
            </w:r>
          </w:p>
        </w:tc>
        <w:tc>
          <w:tcPr>
            <w:tcW w:w="2200" w:type="dxa"/>
            <w:shd w:val="clear" w:color="auto" w:fill="12110E"/>
            <w:vAlign w:val="center"/>
          </w:tcPr>
          <w:p>
            <w:pPr>
              <w:spacing w:before="20" w:after="20"/>
              <w:jc w:val="right"/>
            </w:pPr>
            <w:r>
              <w:rPr>
                <w:rFonts w:ascii="微软雅黑" w:hAnsi="微软雅黑" w:eastAsia="微软雅黑"/>
                <w:b/>
                <w:color w:val="FFFFFF"/>
                <w:sz w:val="18"/>
                <w:szCs w:val="18"/>
              </w:rPr>
              <w:t xml:space="preserve">目标值</w:t>
            </w:r>
          </w:p>
        </w:tc>
        <w:tc>
          <w:tcPr>
            <w:tcW w:w="3470" w:type="dxa"/>
            <w:shd w:val="clear" w:color="auto" w:fill="12110E"/>
            <w:vAlign w:val="center"/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FFFFFF"/>
                <w:sz w:val="18"/>
                <w:szCs w:val="18"/>
              </w:rPr>
              <w:t xml:space="preserve">说明</w:t>
            </w:r>
          </w:p>
        </w:tc>
      </w:tr>
      <w:tr>
        <w:tc>
          <w:tcPr>
            <w:tcW w:w="3400" w:type="dxa"/>
            <w:vAlign w:val="center"/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</w:rPr>
              <w:t xml:space="preserve">跨渠道视觉一致性</w:t>
            </w:r>
          </w:p>
        </w:tc>
        <w:tc>
          <w:tcPr>
            <w:tcW w:w="2200" w:type="dxa"/>
            <w:vAlign w:val="center"/>
          </w:tcPr>
          <w:p>
            <w:pPr>
              <w:spacing w:before="20" w:after="20"/>
              <w:jc w:val="right"/>
            </w:pPr>
            <w:r>
              <w:rPr>
                <w:rFonts w:ascii="微软雅黑" w:hAnsi="微软雅黑" w:eastAsia="微软雅黑"/>
                <w:b/>
                <w:color w:val="C4362A"/>
                <w:sz w:val="24"/>
                <w:szCs w:val="24"/>
              </w:rPr>
              <w:t xml:space="preserve">100%</w:t>
            </w:r>
          </w:p>
        </w:tc>
        <w:tc>
          <w:tcPr>
            <w:tcW w:w="3470" w:type="dxa"/>
            <w:vAlign w:val="center"/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</w:rPr>
              <w:t xml:space="preserve">各触点视觉统一</w:t>
            </w:r>
          </w:p>
        </w:tc>
      </w:tr>
      <w:tr>
        <w:tc>
          <w:tcPr>
            <w:tcW w:w="3400" w:type="dxa"/>
            <w:vAlign w:val="center"/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</w:rPr>
              <w:t xml:space="preserve">物料制作效率</w:t>
            </w:r>
          </w:p>
        </w:tc>
        <w:tc>
          <w:tcPr>
            <w:tcW w:w="2200" w:type="dxa"/>
            <w:vAlign w:val="center"/>
          </w:tcPr>
          <w:p>
            <w:pPr>
              <w:spacing w:before="20" w:after="20"/>
              <w:jc w:val="right"/>
            </w:pPr>
            <w:r>
              <w:rPr>
                <w:rFonts w:ascii="微软雅黑" w:hAnsi="微软雅黑" w:eastAsia="微软雅黑"/>
                <w:b/>
                <w:color w:val="C4362A"/>
                <w:sz w:val="24"/>
                <w:szCs w:val="24"/>
              </w:rPr>
              <w:t xml:space="preserve">+40%</w:t>
            </w:r>
          </w:p>
        </w:tc>
        <w:tc>
          <w:tcPr>
            <w:tcW w:w="3470" w:type="dxa"/>
            <w:vAlign w:val="center"/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</w:rPr>
              <w:t xml:space="preserve">规范化后提效</w:t>
            </w:r>
          </w:p>
        </w:tc>
      </w:tr>
      <w:tr>
        <w:tc>
          <w:tcPr>
            <w:tcW w:w="3400" w:type="dxa"/>
            <w:vAlign w:val="center"/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</w:rPr>
              <w:t xml:space="preserve">标准化应用模板</w:t>
            </w:r>
          </w:p>
        </w:tc>
        <w:tc>
          <w:tcPr>
            <w:tcW w:w="2200" w:type="dxa"/>
            <w:vAlign w:val="center"/>
          </w:tcPr>
          <w:p>
            <w:pPr>
              <w:spacing w:before="20" w:after="20"/>
              <w:jc w:val="right"/>
            </w:pPr>
            <w:r>
              <w:rPr>
                <w:rFonts w:ascii="微软雅黑" w:hAnsi="微软雅黑" w:eastAsia="微软雅黑"/>
                <w:b/>
                <w:color w:val="C4362A"/>
                <w:sz w:val="24"/>
                <w:szCs w:val="24"/>
              </w:rPr>
              <w:t xml:space="preserve">20+</w:t>
            </w:r>
          </w:p>
        </w:tc>
        <w:tc>
          <w:tcPr>
            <w:tcW w:w="3470" w:type="dxa"/>
            <w:vAlign w:val="center"/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</w:rPr>
              <w:t xml:space="preserve">可复用模板数量</w:t>
            </w:r>
          </w:p>
        </w:tc>
      </w:tr>
    </w:tbl>
    <w:p>
      <w:pPr>
        <w:pStyle w:val="Heading1"/>
      </w:pPr>
      <w:r>
        <w:rPr>
          <w:rFonts w:ascii="宋体" w:hAnsi="宋体" w:eastAsia="宋体"/>
          <w:color w:val="C4362A"/>
          <w:sz w:val="34"/>
          <w:szCs w:val="34"/>
        </w:rPr>
        <w:t xml:space="preserve">03　</w:t>
      </w:r>
      <w:r>
        <w:rPr>
          <w:rFonts w:ascii="宋体" w:hAnsi="宋体" w:eastAsia="宋体"/>
          <w:b/>
          <w:sz w:val="34"/>
          <w:szCs w:val="34"/>
        </w:rPr>
        <w:t xml:space="preserve">方案设计与内容</w:t>
      </w:r>
    </w:p>
    <w:p>
      <w:pPr>
        <w:spacing w:after="200"/>
      </w:pPr>
      <w:r>
        <w:rPr>
          <w:rFonts w:ascii="微软雅黑" w:hAnsi="微软雅黑" w:eastAsia="微软雅黑"/>
          <w:caps/>
          <w:spacing w:val="40"/>
          <w:color w:val="9A968C"/>
          <w:sz w:val="16"/>
          <w:szCs w:val="16"/>
        </w:rPr>
        <w:t xml:space="preserve">Solution &amp; Scope</w:t>
      </w:r>
    </w:p>
    <w:p>
      <w:pPr>
        <w:pStyle w:val="Heading2"/>
      </w:pPr>
      <w:r>
        <w:rPr>
          <w:rFonts w:ascii="微软雅黑" w:hAnsi="微软雅黑" w:eastAsia="微软雅黑"/>
          <w:b/>
          <w:sz w:val="26"/>
          <w:szCs w:val="26"/>
        </w:rPr>
        <w:t xml:space="preserve">3.1 总体思路</w:t>
      </w:r>
    </w:p>
    <w:p>
      <w:pPr>
        <w:spacing w:after="120" w:line="340" w:lineRule="auto"/>
      </w:pPr>
      <w:r>
        <w:rPr>
          <w:rFonts w:ascii="微软雅黑" w:hAnsi="微软雅黑" w:eastAsia="微软雅黑"/>
          <w:color w:val="403D36"/>
          <w:sz w:val="21"/>
          <w:szCs w:val="21"/>
        </w:rPr>
        <w:t xml:space="preserve">方案遵循"策略先行、系统落地"的路径：先明确品牌定位与视觉气质，再由核心标识向外延展至完整的规范与应用，最终形成可长期维护的品牌资产库。系统架构为：核心标识 Logo → 视觉规范 / 图形语言 / 应用体系 → 品牌资产库。</w:t>
      </w:r>
    </w:p>
    <w:p>
      <w:pPr>
        <w:pStyle w:val="Heading2"/>
      </w:pPr>
      <w:r>
        <w:rPr>
          <w:rFonts w:ascii="微软雅黑" w:hAnsi="微软雅黑" w:eastAsia="微软雅黑"/>
          <w:b/>
          <w:sz w:val="26"/>
          <w:szCs w:val="26"/>
        </w:rPr>
        <w:t xml:space="preserve">3.2 四大工作模块</w:t>
      </w:r>
    </w:p>
    <w:p>
      <w:pPr>
        <w:spacing w:after="60" w:line="320" w:lineRule="auto"/>
      </w:pPr>
      <w:r>
        <w:rPr>
          <w:rFonts w:ascii="微软雅黑" w:hAnsi="微软雅黑" w:eastAsia="微软雅黑"/>
          <w:b/>
          <w:color w:val="C4362A"/>
          <w:sz w:val="21"/>
          <w:szCs w:val="21"/>
        </w:rPr>
        <w:t xml:space="preserve">—  </w:t>
      </w:r>
      <w:r>
        <w:rPr>
          <w:rFonts w:ascii="微软雅黑" w:hAnsi="微软雅黑" w:eastAsia="微软雅黑"/>
          <w:color w:val="403D36"/>
          <w:sz w:val="21"/>
          <w:szCs w:val="21"/>
        </w:rPr>
        <w:t xml:space="preserve">模块一　品牌策略：品牌定位、核心价值梳理与视觉气质定调。</w:t>
      </w:r>
    </w:p>
    <w:p>
      <w:pPr>
        <w:spacing w:after="60" w:line="320" w:lineRule="auto"/>
      </w:pPr>
      <w:r>
        <w:rPr>
          <w:rFonts w:ascii="微软雅黑" w:hAnsi="微软雅黑" w:eastAsia="微软雅黑"/>
          <w:b/>
          <w:color w:val="C4362A"/>
          <w:sz w:val="21"/>
          <w:szCs w:val="21"/>
        </w:rPr>
        <w:t xml:space="preserve">—  </w:t>
      </w:r>
      <w:r>
        <w:rPr>
          <w:rFonts w:ascii="微软雅黑" w:hAnsi="微软雅黑" w:eastAsia="微软雅黑"/>
          <w:color w:val="403D36"/>
          <w:sz w:val="21"/>
          <w:szCs w:val="21"/>
        </w:rPr>
        <w:t xml:space="preserve">模块二　标识与规范：Logo 设计、色彩字体系统与使用规范文档。</w:t>
      </w:r>
    </w:p>
    <w:p>
      <w:pPr>
        <w:spacing w:after="60" w:line="320" w:lineRule="auto"/>
      </w:pPr>
      <w:r>
        <w:rPr>
          <w:rFonts w:ascii="微软雅黑" w:hAnsi="微软雅黑" w:eastAsia="微软雅黑"/>
          <w:b/>
          <w:color w:val="C4362A"/>
          <w:sz w:val="21"/>
          <w:szCs w:val="21"/>
        </w:rPr>
        <w:t xml:space="preserve">—  </w:t>
      </w:r>
      <w:r>
        <w:rPr>
          <w:rFonts w:ascii="微软雅黑" w:hAnsi="微软雅黑" w:eastAsia="微软雅黑"/>
          <w:color w:val="403D36"/>
          <w:sz w:val="21"/>
          <w:szCs w:val="21"/>
        </w:rPr>
        <w:t xml:space="preserve">模块三　应用设计：数字、印刷、周边等核心物料模板设计。</w:t>
      </w:r>
    </w:p>
    <w:p>
      <w:pPr>
        <w:spacing w:after="60" w:line="320" w:lineRule="auto"/>
      </w:pPr>
      <w:r>
        <w:rPr>
          <w:rFonts w:ascii="微软雅黑" w:hAnsi="微软雅黑" w:eastAsia="微软雅黑"/>
          <w:b/>
          <w:color w:val="C4362A"/>
          <w:sz w:val="21"/>
          <w:szCs w:val="21"/>
        </w:rPr>
        <w:t xml:space="preserve">—  </w:t>
      </w:r>
      <w:r>
        <w:rPr>
          <w:rFonts w:ascii="微软雅黑" w:hAnsi="微软雅黑" w:eastAsia="微软雅黑"/>
          <w:color w:val="403D36"/>
          <w:sz w:val="21"/>
          <w:szCs w:val="21"/>
        </w:rPr>
        <w:t xml:space="preserve">模块四　资产交付：源文件、切图与品牌手册的整理归档。</w:t>
      </w:r>
    </w:p>
    <w:p>
      <w:pPr>
        <w:pStyle w:val="Heading2"/>
      </w:pPr>
      <w:r>
        <w:rPr>
          <w:rFonts w:ascii="微软雅黑" w:hAnsi="微软雅黑" w:eastAsia="微软雅黑"/>
          <w:b/>
          <w:sz w:val="26"/>
          <w:szCs w:val="26"/>
        </w:rPr>
        <w:t xml:space="preserve">3.3 交付清单</w:t>
      </w:r>
    </w:p>
    <w:p>
      <w:pPr>
        <w:spacing w:after="120" w:line="340" w:lineRule="auto"/>
      </w:pPr>
      <w:r>
        <w:rPr>
          <w:rFonts w:ascii="微软雅黑" w:hAnsi="微软雅黑" w:eastAsia="微软雅黑"/>
          <w:color w:val="403D36"/>
          <w:sz w:val="21"/>
          <w:szCs w:val="21"/>
        </w:rPr>
        <w:t xml:space="preserve">品牌标志系统 · 色彩与字体规范 · 图形与纹样 · 名片与信纸 · PPT 模板 · 社交媒体模板 · 周边物料 · 品牌手册 PDF。</w:t>
      </w:r>
    </w:p>
    <w:p>
      <w:pPr>
        <w:pStyle w:val="Heading1"/>
      </w:pPr>
      <w:r>
        <w:rPr>
          <w:rFonts w:ascii="宋体" w:hAnsi="宋体" w:eastAsia="宋体"/>
          <w:color w:val="C4362A"/>
          <w:sz w:val="34"/>
          <w:szCs w:val="34"/>
        </w:rPr>
        <w:t xml:space="preserve">04　</w:t>
      </w:r>
      <w:r>
        <w:rPr>
          <w:rFonts w:ascii="宋体" w:hAnsi="宋体" w:eastAsia="宋体"/>
          <w:b/>
          <w:sz w:val="34"/>
          <w:szCs w:val="34"/>
        </w:rPr>
        <w:t xml:space="preserve">实施计划与时间线</w:t>
      </w:r>
    </w:p>
    <w:p>
      <w:pPr>
        <w:spacing w:after="200"/>
      </w:pPr>
      <w:r>
        <w:rPr>
          <w:rFonts w:ascii="微软雅黑" w:hAnsi="微软雅黑" w:eastAsia="微软雅黑"/>
          <w:caps/>
          <w:spacing w:val="40"/>
          <w:color w:val="9A968C"/>
          <w:sz w:val="16"/>
          <w:szCs w:val="16"/>
        </w:rPr>
        <w:t xml:space="preserve">Timeline &amp; Roadmap</w:t>
      </w:r>
    </w:p>
    <w:p>
      <w:pPr>
        <w:pStyle w:val="Heading2"/>
      </w:pPr>
      <w:r>
        <w:rPr>
          <w:rFonts w:ascii="微软雅黑" w:hAnsi="微软雅黑" w:eastAsia="微软雅黑"/>
          <w:b/>
          <w:sz w:val="26"/>
          <w:szCs w:val="26"/>
        </w:rPr>
        <w:t xml:space="preserve">4.1 阶段划分（共 14 周）</w:t>
      </w:r>
    </w:p>
    <w:p>
      <w:pPr>
        <w:spacing w:after="60" w:line="320" w:lineRule="auto"/>
      </w:pPr>
      <w:r>
        <w:rPr>
          <w:rFonts w:ascii="微软雅黑" w:hAnsi="微软雅黑" w:eastAsia="微软雅黑"/>
          <w:b/>
          <w:color w:val="C4362A"/>
          <w:sz w:val="21"/>
          <w:szCs w:val="21"/>
        </w:rPr>
        <w:t xml:space="preserve">—  </w:t>
      </w:r>
      <w:r>
        <w:rPr>
          <w:rFonts w:ascii="微软雅黑" w:hAnsi="微软雅黑" w:eastAsia="微软雅黑"/>
          <w:color w:val="403D36"/>
          <w:sz w:val="21"/>
          <w:szCs w:val="21"/>
        </w:rPr>
        <w:t xml:space="preserve">阶段一　启动与调研（W1–2）：需求访谈、竞品分析、视觉气质定调。</w:t>
      </w:r>
    </w:p>
    <w:p>
      <w:pPr>
        <w:spacing w:after="60" w:line="320" w:lineRule="auto"/>
      </w:pPr>
      <w:r>
        <w:rPr>
          <w:rFonts w:ascii="微软雅黑" w:hAnsi="微软雅黑" w:eastAsia="微软雅黑"/>
          <w:b/>
          <w:color w:val="C4362A"/>
          <w:sz w:val="21"/>
          <w:szCs w:val="21"/>
        </w:rPr>
        <w:t xml:space="preserve">—  </w:t>
      </w:r>
      <w:r>
        <w:rPr>
          <w:rFonts w:ascii="微软雅黑" w:hAnsi="微软雅黑" w:eastAsia="微软雅黑"/>
          <w:color w:val="403D36"/>
          <w:sz w:val="21"/>
          <w:szCs w:val="21"/>
        </w:rPr>
        <w:t xml:space="preserve">阶段二　设计与提案（W3–6）：Logo 与视觉系统设计，两轮方案评审。</w:t>
      </w:r>
    </w:p>
    <w:p>
      <w:pPr>
        <w:spacing w:after="60" w:line="320" w:lineRule="auto"/>
      </w:pPr>
      <w:r>
        <w:rPr>
          <w:rFonts w:ascii="微软雅黑" w:hAnsi="微软雅黑" w:eastAsia="微软雅黑"/>
          <w:b/>
          <w:color w:val="C4362A"/>
          <w:sz w:val="21"/>
          <w:szCs w:val="21"/>
        </w:rPr>
        <w:t xml:space="preserve">—  </w:t>
      </w:r>
      <w:r>
        <w:rPr>
          <w:rFonts w:ascii="微软雅黑" w:hAnsi="微软雅黑" w:eastAsia="微软雅黑"/>
          <w:color w:val="403D36"/>
          <w:sz w:val="21"/>
          <w:szCs w:val="21"/>
        </w:rPr>
        <w:t xml:space="preserve">阶段三　落地与应用（W7–12）：规范文档与各类应用物料制作。</w:t>
      </w:r>
    </w:p>
    <w:p>
      <w:pPr>
        <w:spacing w:after="60" w:line="320" w:lineRule="auto"/>
      </w:pPr>
      <w:r>
        <w:rPr>
          <w:rFonts w:ascii="微软雅黑" w:hAnsi="微软雅黑" w:eastAsia="微软雅黑"/>
          <w:b/>
          <w:color w:val="C4362A"/>
          <w:sz w:val="21"/>
          <w:szCs w:val="21"/>
        </w:rPr>
        <w:t xml:space="preserve">—  </w:t>
      </w:r>
      <w:r>
        <w:rPr>
          <w:rFonts w:ascii="微软雅黑" w:hAnsi="微软雅黑" w:eastAsia="微软雅黑"/>
          <w:color w:val="403D36"/>
          <w:sz w:val="21"/>
          <w:szCs w:val="21"/>
        </w:rPr>
        <w:t xml:space="preserve">阶段四　交付与验收（W13–14）：资产整理、手册交付与项目验收。</w:t>
      </w:r>
    </w:p>
    <w:p>
      <w:pPr>
        <w:pStyle w:val="Heading2"/>
      </w:pPr>
      <w:r>
        <w:rPr>
          <w:rFonts w:ascii="微软雅黑" w:hAnsi="微软雅黑" w:eastAsia="微软雅黑"/>
          <w:b/>
          <w:sz w:val="26"/>
          <w:szCs w:val="26"/>
        </w:rPr>
        <w:t xml:space="preserve">4.2 里程碑与交付节点</w:t>
      </w:r>
    </w:p>
    <w:tbl>
      <w:tblPr>
        <w:tblW w:w="9070" w:type="dxa"/>
        <w:tblBorders>
          <w:top w:val="single" w:sz="4" w:color="D8D4CA"/>
          <w:left w:val="none" w:sz="0" w:color="auto"/>
          <w:bottom w:val="single" w:sz="4" w:color="D8D4CA"/>
          <w:right w:val="none" w:sz="0" w:color="auto"/>
          <w:insideH w:val="single" w:sz="4" w:color="E4DFD4"/>
          <w:insideV w:val="none" w:sz="0" w:color="auto"/>
        </w:tblBorders>
        <w:tblCellMar>
          <w:top w:w="120" w:type="dxa"/>
          <w:bottom w:w="120" w:type="dxa"/>
          <w:left w:w="120" w:type="dxa"/>
          <w:right w:w="120" w:type="dxa"/>
        </w:tblCellMar>
        <w:tblLook w:val="0420"/>
      </w:tblPr>
      <w:tblGrid>
        <w:gridCol w:w="1000"/>
        <w:gridCol w:w="2200"/>
        <w:gridCol w:w="3800"/>
        <w:gridCol w:w="2070"/>
      </w:tblGrid>
      <w:tr>
        <w:tc>
          <w:tcPr>
            <w:tcW w:w="1000" w:type="dxa"/>
            <w:shd w:val="clear" w:color="auto" w:fill="12110E"/>
            <w:vAlign w:val="center"/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FFFFFF"/>
                <w:sz w:val="18"/>
                <w:szCs w:val="18"/>
              </w:rPr>
              <w:t xml:space="preserve">节点</w:t>
            </w:r>
          </w:p>
        </w:tc>
        <w:tc>
          <w:tcPr>
            <w:tcW w:w="2200" w:type="dxa"/>
            <w:shd w:val="clear" w:color="auto" w:fill="12110E"/>
            <w:vAlign w:val="center"/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FFFFFF"/>
                <w:sz w:val="18"/>
                <w:szCs w:val="18"/>
              </w:rPr>
              <w:t xml:space="preserve">阶段</w:t>
            </w:r>
          </w:p>
        </w:tc>
        <w:tc>
          <w:tcPr>
            <w:tcW w:w="3800" w:type="dxa"/>
            <w:shd w:val="clear" w:color="auto" w:fill="12110E"/>
            <w:vAlign w:val="center"/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FFFFFF"/>
                <w:sz w:val="18"/>
                <w:szCs w:val="18"/>
              </w:rPr>
              <w:t xml:space="preserve">交付物</w:t>
            </w:r>
          </w:p>
        </w:tc>
        <w:tc>
          <w:tcPr>
            <w:tcW w:w="2070" w:type="dxa"/>
            <w:shd w:val="clear" w:color="auto" w:fill="12110E"/>
            <w:vAlign w:val="center"/>
          </w:tcPr>
          <w:p>
            <w:pPr>
              <w:spacing w:before="20" w:after="20"/>
              <w:jc w:val="right"/>
            </w:pPr>
            <w:r>
              <w:rPr>
                <w:rFonts w:ascii="微软雅黑" w:hAnsi="微软雅黑" w:eastAsia="微软雅黑"/>
                <w:b/>
                <w:color w:val="FFFFFF"/>
                <w:sz w:val="18"/>
                <w:szCs w:val="18"/>
              </w:rPr>
              <w:t xml:space="preserve">时间</w:t>
            </w:r>
          </w:p>
        </w:tc>
      </w:tr>
      <w:tr>
        <w:tc>
          <w:tcPr>
            <w:tcW w:w="1000" w:type="dxa"/>
            <w:vAlign w:val="center"/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C4362A"/>
              </w:rPr>
              <w:t xml:space="preserve">M1</w:t>
            </w:r>
          </w:p>
        </w:tc>
        <w:tc>
          <w:tcPr>
            <w:tcW w:w="2200" w:type="dxa"/>
            <w:vAlign w:val="center"/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</w:rPr>
              <w:t xml:space="preserve">启动与调研</w:t>
            </w:r>
          </w:p>
        </w:tc>
        <w:tc>
          <w:tcPr>
            <w:tcW w:w="3800" w:type="dxa"/>
            <w:vAlign w:val="center"/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</w:rPr>
              <w:t xml:space="preserve">调研报告 · 视觉方向</w:t>
            </w:r>
          </w:p>
        </w:tc>
        <w:tc>
          <w:tcPr>
            <w:tcW w:w="2070" w:type="dxa"/>
            <w:vAlign w:val="center"/>
          </w:tcPr>
          <w:p>
            <w:pPr>
              <w:spacing w:before="20" w:after="20"/>
              <w:jc w:val="right"/>
            </w:pPr>
            <w:r>
              <w:rPr>
                <w:rFonts w:ascii="微软雅黑" w:hAnsi="微软雅黑" w:eastAsia="微软雅黑"/>
              </w:rPr>
              <w:t xml:space="preserve">第 2 周</w:t>
            </w:r>
          </w:p>
        </w:tc>
      </w:tr>
      <w:tr>
        <w:tc>
          <w:tcPr>
            <w:tcW w:w="1000" w:type="dxa"/>
            <w:vAlign w:val="center"/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C4362A"/>
              </w:rPr>
              <w:t xml:space="preserve">M2</w:t>
            </w:r>
          </w:p>
        </w:tc>
        <w:tc>
          <w:tcPr>
            <w:tcW w:w="2200" w:type="dxa"/>
            <w:vAlign w:val="center"/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</w:rPr>
              <w:t xml:space="preserve">设计与提案</w:t>
            </w:r>
          </w:p>
        </w:tc>
        <w:tc>
          <w:tcPr>
            <w:tcW w:w="3800" w:type="dxa"/>
            <w:vAlign w:val="center"/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</w:rPr>
              <w:t xml:space="preserve">Logo 初稿 · 视觉提案</w:t>
            </w:r>
          </w:p>
        </w:tc>
        <w:tc>
          <w:tcPr>
            <w:tcW w:w="2070" w:type="dxa"/>
            <w:vAlign w:val="center"/>
          </w:tcPr>
          <w:p>
            <w:pPr>
              <w:spacing w:before="20" w:after="20"/>
              <w:jc w:val="right"/>
            </w:pPr>
            <w:r>
              <w:rPr>
                <w:rFonts w:ascii="微软雅黑" w:hAnsi="微软雅黑" w:eastAsia="微软雅黑"/>
              </w:rPr>
              <w:t xml:space="preserve">第 6 周</w:t>
            </w:r>
          </w:p>
        </w:tc>
      </w:tr>
      <w:tr>
        <w:tc>
          <w:tcPr>
            <w:tcW w:w="1000" w:type="dxa"/>
            <w:vAlign w:val="center"/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C4362A"/>
              </w:rPr>
              <w:t xml:space="preserve">M3</w:t>
            </w:r>
          </w:p>
        </w:tc>
        <w:tc>
          <w:tcPr>
            <w:tcW w:w="2200" w:type="dxa"/>
            <w:vAlign w:val="center"/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</w:rPr>
              <w:t xml:space="preserve">落地与应用</w:t>
            </w:r>
          </w:p>
        </w:tc>
        <w:tc>
          <w:tcPr>
            <w:tcW w:w="3800" w:type="dxa"/>
            <w:vAlign w:val="center"/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</w:rPr>
              <w:t xml:space="preserve">规范文档 · 应用模板</w:t>
            </w:r>
          </w:p>
        </w:tc>
        <w:tc>
          <w:tcPr>
            <w:tcW w:w="2070" w:type="dxa"/>
            <w:vAlign w:val="center"/>
          </w:tcPr>
          <w:p>
            <w:pPr>
              <w:spacing w:before="20" w:after="20"/>
              <w:jc w:val="right"/>
            </w:pPr>
            <w:r>
              <w:rPr>
                <w:rFonts w:ascii="微软雅黑" w:hAnsi="微软雅黑" w:eastAsia="微软雅黑"/>
              </w:rPr>
              <w:t xml:space="preserve">第 12 周</w:t>
            </w:r>
          </w:p>
        </w:tc>
      </w:tr>
      <w:tr>
        <w:tc>
          <w:tcPr>
            <w:tcW w:w="1000" w:type="dxa"/>
            <w:vAlign w:val="center"/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C4362A"/>
              </w:rPr>
              <w:t xml:space="preserve">M4</w:t>
            </w:r>
          </w:p>
        </w:tc>
        <w:tc>
          <w:tcPr>
            <w:tcW w:w="2200" w:type="dxa"/>
            <w:vAlign w:val="center"/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</w:rPr>
              <w:t xml:space="preserve">交付与验收</w:t>
            </w:r>
          </w:p>
        </w:tc>
        <w:tc>
          <w:tcPr>
            <w:tcW w:w="3800" w:type="dxa"/>
            <w:vAlign w:val="center"/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</w:rPr>
              <w:t xml:space="preserve">品牌手册 · 全部源文件</w:t>
            </w:r>
          </w:p>
        </w:tc>
        <w:tc>
          <w:tcPr>
            <w:tcW w:w="2070" w:type="dxa"/>
            <w:vAlign w:val="center"/>
          </w:tcPr>
          <w:p>
            <w:pPr>
              <w:spacing w:before="20" w:after="20"/>
              <w:jc w:val="right"/>
            </w:pPr>
            <w:r>
              <w:rPr>
                <w:rFonts w:ascii="微软雅黑" w:hAnsi="微软雅黑" w:eastAsia="微软雅黑"/>
              </w:rPr>
              <w:t xml:space="preserve">第 14 周</w:t>
            </w:r>
          </w:p>
        </w:tc>
      </w:tr>
    </w:tbl>
    <w:p>
      <w:pPr>
        <w:pStyle w:val="Heading2"/>
      </w:pPr>
      <w:r>
        <w:rPr>
          <w:rFonts w:ascii="微软雅黑" w:hAnsi="微软雅黑" w:eastAsia="微软雅黑"/>
          <w:b/>
          <w:sz w:val="26"/>
          <w:szCs w:val="26"/>
        </w:rPr>
        <w:t xml:space="preserve">4.3 协作方式</w:t>
      </w:r>
    </w:p>
    <w:p>
      <w:pPr>
        <w:spacing w:after="120" w:line="340" w:lineRule="auto"/>
      </w:pPr>
      <w:r>
        <w:rPr>
          <w:rFonts w:ascii="微软雅黑" w:hAnsi="微软雅黑" w:eastAsia="微软雅黑"/>
          <w:color w:val="403D36"/>
          <w:sz w:val="21"/>
          <w:szCs w:val="21"/>
        </w:rPr>
        <w:t xml:space="preserve">项目全程设置固定周会与阶段评审，关键节点提交书面成果供甲方确认。每一阶段结束后进入下一阶段前，需完成对应交付物的验收签字，以保证进度可控、责任清晰。</w:t>
      </w:r>
    </w:p>
    <w:p>
      <w:pPr>
        <w:pStyle w:val="Heading1"/>
      </w:pPr>
      <w:r>
        <w:rPr>
          <w:rFonts w:ascii="宋体" w:hAnsi="宋体" w:eastAsia="宋体"/>
          <w:color w:val="C4362A"/>
          <w:sz w:val="34"/>
          <w:szCs w:val="34"/>
        </w:rPr>
        <w:t xml:space="preserve">05　</w:t>
      </w:r>
      <w:r>
        <w:rPr>
          <w:rFonts w:ascii="宋体" w:hAnsi="宋体" w:eastAsia="宋体"/>
          <w:b/>
          <w:sz w:val="34"/>
          <w:szCs w:val="34"/>
        </w:rPr>
        <w:t xml:space="preserve">预算与报价</w:t>
      </w:r>
    </w:p>
    <w:p>
      <w:pPr>
        <w:spacing w:after="200"/>
      </w:pPr>
      <w:r>
        <w:rPr>
          <w:rFonts w:ascii="微软雅黑" w:hAnsi="微软雅黑" w:eastAsia="微软雅黑"/>
          <w:caps/>
          <w:spacing w:val="40"/>
          <w:color w:val="9A968C"/>
          <w:sz w:val="16"/>
          <w:szCs w:val="16"/>
        </w:rPr>
        <w:t xml:space="preserve">Budget &amp; Quotation</w:t>
      </w:r>
    </w:p>
    <w:tbl>
      <w:tblPr>
        <w:tblW w:w="9070" w:type="dxa"/>
        <w:tblBorders>
          <w:top w:val="single" w:sz="4" w:color="D8D4CA"/>
          <w:left w:val="none" w:sz="0" w:color="auto"/>
          <w:bottom w:val="single" w:sz="4" w:color="D8D4CA"/>
          <w:right w:val="none" w:sz="0" w:color="auto"/>
          <w:insideH w:val="single" w:sz="4" w:color="E4DFD4"/>
          <w:insideV w:val="none" w:sz="0" w:color="auto"/>
        </w:tblBorders>
        <w:tblCellMar>
          <w:top w:w="120" w:type="dxa"/>
          <w:bottom w:w="120" w:type="dxa"/>
          <w:left w:w="120" w:type="dxa"/>
          <w:right w:w="120" w:type="dxa"/>
        </w:tblCellMar>
        <w:tblLook w:val="0420"/>
      </w:tblPr>
      <w:tblGrid>
        <w:gridCol w:w="700"/>
        <w:gridCol w:w="2000"/>
        <w:gridCol w:w="3400"/>
        <w:gridCol w:w="900"/>
        <w:gridCol w:w="2070"/>
      </w:tblGrid>
      <w:tr>
        <w:tc>
          <w:tcPr>
            <w:tcW w:w="700" w:type="dxa"/>
            <w:shd w:val="clear" w:color="auto" w:fill="12110E"/>
            <w:vAlign w:val="center"/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FFFFFF"/>
                <w:sz w:val="18"/>
                <w:szCs w:val="18"/>
              </w:rPr>
              <w:t xml:space="preserve">#</w:t>
            </w:r>
          </w:p>
        </w:tc>
        <w:tc>
          <w:tcPr>
            <w:tcW w:w="2000" w:type="dxa"/>
            <w:shd w:val="clear" w:color="auto" w:fill="12110E"/>
            <w:vAlign w:val="center"/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FFFFFF"/>
                <w:sz w:val="18"/>
                <w:szCs w:val="18"/>
              </w:rPr>
              <w:t xml:space="preserve">项目内容</w:t>
            </w:r>
          </w:p>
        </w:tc>
        <w:tc>
          <w:tcPr>
            <w:tcW w:w="3400" w:type="dxa"/>
            <w:shd w:val="clear" w:color="auto" w:fill="12110E"/>
            <w:vAlign w:val="center"/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FFFFFF"/>
                <w:sz w:val="18"/>
                <w:szCs w:val="18"/>
              </w:rPr>
              <w:t xml:space="preserve">说明</w:t>
            </w:r>
          </w:p>
        </w:tc>
        <w:tc>
          <w:tcPr>
            <w:tcW w:w="900" w:type="dxa"/>
            <w:shd w:val="clear" w:color="auto" w:fill="12110E"/>
            <w:vAlign w:val="center"/>
          </w:tcPr>
          <w:p>
            <w:pPr>
              <w:spacing w:before="20" w:after="20"/>
              <w:jc w:val="right"/>
            </w:pPr>
            <w:r>
              <w:rPr>
                <w:rFonts w:ascii="微软雅黑" w:hAnsi="微软雅黑" w:eastAsia="微软雅黑"/>
                <w:b/>
                <w:color w:val="FFFFFF"/>
                <w:sz w:val="18"/>
                <w:szCs w:val="18"/>
              </w:rPr>
              <w:t xml:space="preserve">数量</w:t>
            </w:r>
          </w:p>
        </w:tc>
        <w:tc>
          <w:tcPr>
            <w:tcW w:w="2070" w:type="dxa"/>
            <w:shd w:val="clear" w:color="auto" w:fill="12110E"/>
            <w:vAlign w:val="center"/>
          </w:tcPr>
          <w:p>
            <w:pPr>
              <w:spacing w:before="20" w:after="20"/>
              <w:jc w:val="right"/>
            </w:pPr>
            <w:r>
              <w:rPr>
                <w:rFonts w:ascii="微软雅黑" w:hAnsi="微软雅黑" w:eastAsia="微软雅黑"/>
                <w:b/>
                <w:color w:val="FFFFFF"/>
                <w:sz w:val="18"/>
                <w:szCs w:val="18"/>
              </w:rPr>
              <w:t xml:space="preserve">金额（元）</w:t>
            </w:r>
          </w:p>
        </w:tc>
      </w:tr>
      <w:tr>
        <w:tc>
          <w:tcPr>
            <w:tcW w:w="700" w:type="dxa"/>
            <w:vAlign w:val="center"/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C4362A"/>
              </w:rPr>
              <w:t xml:space="preserve">01</w:t>
            </w:r>
          </w:p>
        </w:tc>
        <w:tc>
          <w:tcPr>
            <w:tcW w:w="2000" w:type="dxa"/>
            <w:vAlign w:val="center"/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color w:val="12110E"/>
              </w:rPr>
              <w:t xml:space="preserve">品牌策略</w:t>
            </w:r>
          </w:p>
        </w:tc>
        <w:tc>
          <w:tcPr>
            <w:tcW w:w="3400" w:type="dxa"/>
            <w:vAlign w:val="center"/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</w:rPr>
              <w:t xml:space="preserve">定位梳理与气质定调</w:t>
            </w:r>
          </w:p>
        </w:tc>
        <w:tc>
          <w:tcPr>
            <w:tcW w:w="900" w:type="dxa"/>
            <w:vAlign w:val="center"/>
          </w:tcPr>
          <w:p>
            <w:pPr>
              <w:spacing w:before="20" w:after="20"/>
              <w:jc w:val="right"/>
            </w:pPr>
            <w:r>
              <w:rPr>
                <w:rFonts w:ascii="微软雅黑" w:hAnsi="微软雅黑" w:eastAsia="微软雅黑"/>
              </w:rPr>
              <w:t xml:space="preserve">1</w:t>
            </w:r>
          </w:p>
        </w:tc>
        <w:tc>
          <w:tcPr>
            <w:tcW w:w="2070" w:type="dxa"/>
            <w:vAlign w:val="center"/>
          </w:tcPr>
          <w:p>
            <w:pPr>
              <w:spacing w:before="20" w:after="20"/>
              <w:jc w:val="right"/>
            </w:pPr>
            <w:r>
              <w:rPr>
                <w:rFonts w:ascii="微软雅黑" w:hAnsi="微软雅黑" w:eastAsia="微软雅黑"/>
                <w:color w:val="12110E"/>
              </w:rPr>
              <w:t xml:space="preserve">18,000</w:t>
            </w:r>
          </w:p>
        </w:tc>
      </w:tr>
      <w:tr>
        <w:tc>
          <w:tcPr>
            <w:tcW w:w="700" w:type="dxa"/>
            <w:vAlign w:val="center"/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C4362A"/>
              </w:rPr>
              <w:t xml:space="preserve">02</w:t>
            </w:r>
          </w:p>
        </w:tc>
        <w:tc>
          <w:tcPr>
            <w:tcW w:w="2000" w:type="dxa"/>
            <w:vAlign w:val="center"/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color w:val="12110E"/>
              </w:rPr>
              <w:t xml:space="preserve">标识与规范</w:t>
            </w:r>
          </w:p>
        </w:tc>
        <w:tc>
          <w:tcPr>
            <w:tcW w:w="3400" w:type="dxa"/>
            <w:vAlign w:val="center"/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</w:rPr>
              <w:t xml:space="preserve">Logo 与视觉系统规范</w:t>
            </w:r>
          </w:p>
        </w:tc>
        <w:tc>
          <w:tcPr>
            <w:tcW w:w="900" w:type="dxa"/>
            <w:vAlign w:val="center"/>
          </w:tcPr>
          <w:p>
            <w:pPr>
              <w:spacing w:before="20" w:after="20"/>
              <w:jc w:val="right"/>
            </w:pPr>
            <w:r>
              <w:rPr>
                <w:rFonts w:ascii="微软雅黑" w:hAnsi="微软雅黑" w:eastAsia="微软雅黑"/>
              </w:rPr>
              <w:t xml:space="preserve">1</w:t>
            </w:r>
          </w:p>
        </w:tc>
        <w:tc>
          <w:tcPr>
            <w:tcW w:w="2070" w:type="dxa"/>
            <w:vAlign w:val="center"/>
          </w:tcPr>
          <w:p>
            <w:pPr>
              <w:spacing w:before="20" w:after="20"/>
              <w:jc w:val="right"/>
            </w:pPr>
            <w:r>
              <w:rPr>
                <w:rFonts w:ascii="微软雅黑" w:hAnsi="微软雅黑" w:eastAsia="微软雅黑"/>
                <w:color w:val="12110E"/>
              </w:rPr>
              <w:t xml:space="preserve">42,000</w:t>
            </w:r>
          </w:p>
        </w:tc>
      </w:tr>
      <w:tr>
        <w:tc>
          <w:tcPr>
            <w:tcW w:w="700" w:type="dxa"/>
            <w:vAlign w:val="center"/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C4362A"/>
              </w:rPr>
              <w:t xml:space="preserve">03</w:t>
            </w:r>
          </w:p>
        </w:tc>
        <w:tc>
          <w:tcPr>
            <w:tcW w:w="2000" w:type="dxa"/>
            <w:vAlign w:val="center"/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color w:val="12110E"/>
              </w:rPr>
              <w:t xml:space="preserve">应用设计</w:t>
            </w:r>
          </w:p>
        </w:tc>
        <w:tc>
          <w:tcPr>
            <w:tcW w:w="3400" w:type="dxa"/>
            <w:vAlign w:val="center"/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</w:rPr>
              <w:t xml:space="preserve">数字 / 印刷 / 周边模板</w:t>
            </w:r>
          </w:p>
        </w:tc>
        <w:tc>
          <w:tcPr>
            <w:tcW w:w="900" w:type="dxa"/>
            <w:vAlign w:val="center"/>
          </w:tcPr>
          <w:p>
            <w:pPr>
              <w:spacing w:before="20" w:after="20"/>
              <w:jc w:val="right"/>
            </w:pPr>
            <w:r>
              <w:rPr>
                <w:rFonts w:ascii="微软雅黑" w:hAnsi="微软雅黑" w:eastAsia="微软雅黑"/>
              </w:rPr>
              <w:t xml:space="preserve">1</w:t>
            </w:r>
          </w:p>
        </w:tc>
        <w:tc>
          <w:tcPr>
            <w:tcW w:w="2070" w:type="dxa"/>
            <w:vAlign w:val="center"/>
          </w:tcPr>
          <w:p>
            <w:pPr>
              <w:spacing w:before="20" w:after="20"/>
              <w:jc w:val="right"/>
            </w:pPr>
            <w:r>
              <w:rPr>
                <w:rFonts w:ascii="微软雅黑" w:hAnsi="微软雅黑" w:eastAsia="微软雅黑"/>
                <w:color w:val="12110E"/>
              </w:rPr>
              <w:t xml:space="preserve">36,000</w:t>
            </w:r>
          </w:p>
        </w:tc>
      </w:tr>
      <w:tr>
        <w:tc>
          <w:tcPr>
            <w:tcW w:w="700" w:type="dxa"/>
            <w:vAlign w:val="center"/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C4362A"/>
              </w:rPr>
              <w:t xml:space="preserve">04</w:t>
            </w:r>
          </w:p>
        </w:tc>
        <w:tc>
          <w:tcPr>
            <w:tcW w:w="2000" w:type="dxa"/>
            <w:vAlign w:val="center"/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color w:val="12110E"/>
              </w:rPr>
              <w:t xml:space="preserve">资产交付</w:t>
            </w:r>
          </w:p>
        </w:tc>
        <w:tc>
          <w:tcPr>
            <w:tcW w:w="3400" w:type="dxa"/>
            <w:vAlign w:val="center"/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</w:rPr>
              <w:t xml:space="preserve">手册与源文件整理</w:t>
            </w:r>
          </w:p>
        </w:tc>
        <w:tc>
          <w:tcPr>
            <w:tcW w:w="900" w:type="dxa"/>
            <w:vAlign w:val="center"/>
          </w:tcPr>
          <w:p>
            <w:pPr>
              <w:spacing w:before="20" w:after="20"/>
              <w:jc w:val="right"/>
            </w:pPr>
            <w:r>
              <w:rPr>
                <w:rFonts w:ascii="微软雅黑" w:hAnsi="微软雅黑" w:eastAsia="微软雅黑"/>
              </w:rPr>
              <w:t xml:space="preserve">1</w:t>
            </w:r>
          </w:p>
        </w:tc>
        <w:tc>
          <w:tcPr>
            <w:tcW w:w="2070" w:type="dxa"/>
            <w:vAlign w:val="center"/>
          </w:tcPr>
          <w:p>
            <w:pPr>
              <w:spacing w:before="20" w:after="20"/>
              <w:jc w:val="right"/>
            </w:pPr>
            <w:r>
              <w:rPr>
                <w:rFonts w:ascii="微软雅黑" w:hAnsi="微软雅黑" w:eastAsia="微软雅黑"/>
                <w:color w:val="12110E"/>
              </w:rPr>
              <w:t xml:space="preserve">12,000</w:t>
            </w:r>
          </w:p>
        </w:tc>
      </w:tr>
      <w:tr>
        <w:tc>
          <w:tcPr>
            <w:tcW w:w="7000" w:type="dxa"/>
            <w:gridSpan w:val="4"/>
            <w:shd w:val="clear" w:color="auto" w:fill="F6E3E0"/>
            <w:vAlign w:val="center"/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12110E"/>
                <w:sz w:val="22"/>
                <w:szCs w:val="22"/>
              </w:rPr>
              <w:t xml:space="preserve">合计 Total（含税）</w:t>
            </w:r>
          </w:p>
        </w:tc>
        <w:tc>
          <w:tcPr>
            <w:tcW w:w="2070" w:type="dxa"/>
            <w:shd w:val="clear" w:color="auto" w:fill="F6E3E0"/>
            <w:vAlign w:val="center"/>
          </w:tcPr>
          <w:p>
            <w:pPr>
              <w:spacing w:before="20" w:after="20"/>
              <w:jc w:val="right"/>
            </w:pPr>
            <w:r>
              <w:rPr>
                <w:rFonts w:ascii="微软雅黑" w:hAnsi="微软雅黑" w:eastAsia="微软雅黑"/>
                <w:b/>
                <w:color w:val="C4362A"/>
                <w:sz w:val="26"/>
                <w:szCs w:val="26"/>
              </w:rPr>
              <w:t xml:space="preserve">108,000</w:t>
            </w:r>
          </w:p>
        </w:tc>
      </w:tr>
    </w:tbl>
    <w:p>
      <w:pPr>
        <w:spacing w:before="200" w:after="80"/>
      </w:pPr>
      <w:r>
        <w:rPr>
          <w:rFonts w:ascii="微软雅黑" w:hAnsi="微软雅黑" w:eastAsia="微软雅黑"/>
          <w:b/>
          <w:sz w:val="21"/>
          <w:szCs w:val="21"/>
        </w:rPr>
        <w:t xml:space="preserve">付款方式：</w:t>
      </w:r>
      <w:r>
        <w:rPr>
          <w:rFonts w:ascii="微软雅黑" w:hAnsi="微软雅黑" w:eastAsia="微软雅黑"/>
          <w:color w:val="403D36"/>
          <w:sz w:val="21"/>
          <w:szCs w:val="21"/>
        </w:rPr>
        <w:t xml:space="preserve">签约预付 40%，方案确认付 40%，验收交付付 20%。</w:t>
      </w:r>
    </w:p>
    <w:p>
      <w:pPr>
        <w:spacing w:after="120"/>
      </w:pPr>
      <w:r>
        <w:rPr>
          <w:rFonts w:ascii="微软雅黑" w:hAnsi="微软雅黑" w:eastAsia="微软雅黑"/>
          <w:b/>
          <w:sz w:val="21"/>
          <w:szCs w:val="21"/>
        </w:rPr>
        <w:t xml:space="preserve">报价有效期：</w:t>
      </w:r>
      <w:r>
        <w:rPr>
          <w:rFonts w:ascii="微软雅黑" w:hAnsi="微软雅黑" w:eastAsia="微软雅黑"/>
          <w:color w:val="403D36"/>
          <w:sz w:val="21"/>
          <w:szCs w:val="21"/>
        </w:rPr>
        <w:t xml:space="preserve">本报价自出具之日起 30 日内有效，最终以双方签订合同为准。</w:t>
      </w:r>
    </w:p>
    <w:p>
      <w:pPr>
        <w:pStyle w:val="Heading1"/>
      </w:pPr>
      <w:r>
        <w:rPr>
          <w:rFonts w:ascii="宋体" w:hAnsi="宋体" w:eastAsia="宋体"/>
          <w:color w:val="C4362A"/>
          <w:sz w:val="34"/>
          <w:szCs w:val="34"/>
        </w:rPr>
        <w:t xml:space="preserve">06　</w:t>
      </w:r>
      <w:r>
        <w:rPr>
          <w:rFonts w:ascii="宋体" w:hAnsi="宋体" w:eastAsia="宋体"/>
          <w:b/>
          <w:sz w:val="34"/>
          <w:szCs w:val="34"/>
        </w:rPr>
        <w:t xml:space="preserve">团队介绍</w:t>
      </w:r>
    </w:p>
    <w:p>
      <w:pPr>
        <w:spacing w:after="200"/>
      </w:pPr>
      <w:r>
        <w:rPr>
          <w:rFonts w:ascii="微软雅黑" w:hAnsi="微软雅黑" w:eastAsia="微软雅黑"/>
          <w:caps/>
          <w:spacing w:val="40"/>
          <w:color w:val="9A968C"/>
          <w:sz w:val="16"/>
          <w:szCs w:val="16"/>
        </w:rPr>
        <w:t xml:space="preserve">Our Team</w:t>
      </w:r>
    </w:p>
    <w:p>
      <w:pPr>
        <w:spacing w:after="120" w:line="340" w:lineRule="auto"/>
      </w:pPr>
      <w:r>
        <w:rPr>
          <w:rFonts w:ascii="微软雅黑" w:hAnsi="微软雅黑" w:eastAsia="微软雅黑"/>
          <w:color w:val="403D36"/>
          <w:sz w:val="21"/>
          <w:szCs w:val="21"/>
        </w:rPr>
        <w:t xml:space="preserve">一支兼具策略思维与设计执行力的小而精团队，从洞察到落地全程把控，确保方案的专业性与一致性。</w:t>
      </w:r>
    </w:p>
    <w:p>
      <w:pPr>
        <w:spacing w:before="120" w:after="20"/>
      </w:pPr>
      <w:r>
        <w:rPr>
          <w:rFonts w:ascii="微软雅黑" w:hAnsi="微软雅黑" w:eastAsia="微软雅黑"/>
          <w:b/>
          <w:sz w:val="24"/>
          <w:szCs w:val="24"/>
        </w:rPr>
        <w:t xml:space="preserve">邬晓峰　</w:t>
      </w:r>
      <w:r>
        <w:rPr>
          <w:rFonts w:ascii="微软雅黑" w:hAnsi="微软雅黑" w:eastAsia="微软雅黑"/>
          <w:caps/>
          <w:spacing w:val="30"/>
          <w:color w:val="C4362A"/>
          <w:sz w:val="16"/>
          <w:szCs w:val="16"/>
        </w:rPr>
        <w:t xml:space="preserve">CREATIVE DIRECTOR</w:t>
      </w:r>
    </w:p>
    <w:p>
      <w:pPr>
        <w:spacing w:after="80"/>
      </w:pPr>
      <w:r>
        <w:rPr>
          <w:rFonts w:ascii="微软雅黑" w:hAnsi="微软雅黑" w:eastAsia="微软雅黑"/>
          <w:color w:val="403D36"/>
          <w:sz w:val="20"/>
          <w:szCs w:val="20"/>
        </w:rPr>
        <w:t xml:space="preserve">主创设计 · 品牌策略统筹</w:t>
      </w:r>
    </w:p>
    <w:p>
      <w:pPr>
        <w:spacing w:before="120" w:after="20"/>
      </w:pPr>
      <w:r>
        <w:rPr>
          <w:rFonts w:ascii="微软雅黑" w:hAnsi="微软雅黑" w:eastAsia="微软雅黑"/>
          <w:b/>
          <w:sz w:val="24"/>
          <w:szCs w:val="24"/>
        </w:rPr>
        <w:t xml:space="preserve">李 工　</w:t>
      </w:r>
      <w:r>
        <w:rPr>
          <w:rFonts w:ascii="微软雅黑" w:hAnsi="微软雅黑" w:eastAsia="微软雅黑"/>
          <w:caps/>
          <w:spacing w:val="30"/>
          <w:color w:val="C4362A"/>
          <w:sz w:val="16"/>
          <w:szCs w:val="16"/>
        </w:rPr>
        <w:t xml:space="preserve">DESIGN LEAD</w:t>
      </w:r>
    </w:p>
    <w:p>
      <w:pPr>
        <w:spacing w:after="80"/>
      </w:pPr>
      <w:r>
        <w:rPr>
          <w:rFonts w:ascii="微软雅黑" w:hAnsi="微软雅黑" w:eastAsia="微软雅黑"/>
          <w:color w:val="403D36"/>
          <w:sz w:val="20"/>
          <w:szCs w:val="20"/>
        </w:rPr>
        <w:t xml:space="preserve">视觉设计 · 规范制定</w:t>
      </w:r>
    </w:p>
    <w:p>
      <w:pPr>
        <w:spacing w:before="120" w:after="20"/>
      </w:pPr>
      <w:r>
        <w:rPr>
          <w:rFonts w:ascii="微软雅黑" w:hAnsi="微软雅黑" w:eastAsia="微软雅黑"/>
          <w:b/>
          <w:sz w:val="24"/>
          <w:szCs w:val="24"/>
        </w:rPr>
        <w:t xml:space="preserve">王 工　</w:t>
      </w:r>
      <w:r>
        <w:rPr>
          <w:rFonts w:ascii="微软雅黑" w:hAnsi="微软雅黑" w:eastAsia="微软雅黑"/>
          <w:caps/>
          <w:spacing w:val="30"/>
          <w:color w:val="C4362A"/>
          <w:sz w:val="16"/>
          <w:szCs w:val="16"/>
        </w:rPr>
        <w:t xml:space="preserve">APPLICATIONS</w:t>
      </w:r>
    </w:p>
    <w:p>
      <w:pPr>
        <w:spacing w:after="80"/>
      </w:pPr>
      <w:r>
        <w:rPr>
          <w:rFonts w:ascii="微软雅黑" w:hAnsi="微软雅黑" w:eastAsia="微软雅黑"/>
          <w:color w:val="403D36"/>
          <w:sz w:val="20"/>
          <w:szCs w:val="20"/>
        </w:rPr>
        <w:t xml:space="preserve">应用设计 · 物料落地</w:t>
      </w:r>
    </w:p>
    <w:p>
      <w:pPr>
        <w:spacing w:before="120" w:after="20"/>
      </w:pPr>
      <w:r>
        <w:rPr>
          <w:rFonts w:ascii="微软雅黑" w:hAnsi="微软雅黑" w:eastAsia="微软雅黑"/>
          <w:b/>
          <w:sz w:val="24"/>
          <w:szCs w:val="24"/>
        </w:rPr>
        <w:t xml:space="preserve">张 工　</w:t>
      </w:r>
      <w:r>
        <w:rPr>
          <w:rFonts w:ascii="微软雅黑" w:hAnsi="微软雅黑" w:eastAsia="微软雅黑"/>
          <w:caps/>
          <w:spacing w:val="30"/>
          <w:color w:val="C4362A"/>
          <w:sz w:val="16"/>
          <w:szCs w:val="16"/>
        </w:rPr>
        <w:t xml:space="preserve">PROJECT MANAGER</w:t>
      </w:r>
    </w:p>
    <w:p>
      <w:pPr>
        <w:spacing w:after="80"/>
      </w:pPr>
      <w:r>
        <w:rPr>
          <w:rFonts w:ascii="微软雅黑" w:hAnsi="微软雅黑" w:eastAsia="微软雅黑"/>
          <w:color w:val="403D36"/>
          <w:sz w:val="20"/>
          <w:szCs w:val="20"/>
        </w:rPr>
        <w:t xml:space="preserve">项目管理 · 进度协调</w:t>
      </w:r>
    </w:p>
    <w:p>
      <w:pPr>
        <w:pStyle w:val="Heading1"/>
      </w:pPr>
      <w:r>
        <w:rPr>
          <w:rFonts w:ascii="宋体" w:hAnsi="宋体" w:eastAsia="宋体"/>
          <w:color w:val="C4362A"/>
          <w:sz w:val="34"/>
          <w:szCs w:val="34"/>
        </w:rPr>
        <w:t xml:space="preserve">07　</w:t>
      </w:r>
      <w:r>
        <w:rPr>
          <w:rFonts w:ascii="宋体" w:hAnsi="宋体" w:eastAsia="宋体"/>
          <w:b/>
          <w:sz w:val="34"/>
          <w:szCs w:val="34"/>
        </w:rPr>
        <w:t xml:space="preserve">风险与保障</w:t>
      </w:r>
    </w:p>
    <w:p>
      <w:pPr>
        <w:spacing w:after="200"/>
      </w:pPr>
      <w:r>
        <w:rPr>
          <w:rFonts w:ascii="微软雅黑" w:hAnsi="微软雅黑" w:eastAsia="微软雅黑"/>
          <w:caps/>
          <w:spacing w:val="40"/>
          <w:color w:val="9A968C"/>
          <w:sz w:val="16"/>
          <w:szCs w:val="16"/>
        </w:rPr>
        <w:t xml:space="preserve">Risk &amp; Assurance</w:t>
      </w:r>
    </w:p>
    <w:tbl>
      <w:tblPr>
        <w:tblW w:w="9070" w:type="dxa"/>
        <w:tblBorders>
          <w:top w:val="single" w:sz="4" w:color="D8D4CA"/>
          <w:left w:val="none" w:sz="0" w:color="auto"/>
          <w:bottom w:val="single" w:sz="4" w:color="D8D4CA"/>
          <w:right w:val="none" w:sz="0" w:color="auto"/>
          <w:insideH w:val="single" w:sz="4" w:color="E4DFD4"/>
          <w:insideV w:val="none" w:sz="0" w:color="auto"/>
        </w:tblBorders>
        <w:tblCellMar>
          <w:top w:w="120" w:type="dxa"/>
          <w:bottom w:w="120" w:type="dxa"/>
          <w:left w:w="120" w:type="dxa"/>
          <w:right w:w="120" w:type="dxa"/>
        </w:tblCellMar>
        <w:tblLook w:val="0420"/>
      </w:tblPr>
      <w:tblGrid>
        <w:gridCol w:w="3400"/>
        <w:gridCol w:w="5670"/>
      </w:tblGrid>
      <w:tr>
        <w:tc>
          <w:tcPr>
            <w:tcW w:w="3400" w:type="dxa"/>
            <w:shd w:val="clear" w:color="auto" w:fill="12110E"/>
            <w:vAlign w:val="center"/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FFFFFF"/>
                <w:sz w:val="18"/>
                <w:szCs w:val="18"/>
              </w:rPr>
              <w:t xml:space="preserve">潜在风险</w:t>
            </w:r>
          </w:p>
        </w:tc>
        <w:tc>
          <w:tcPr>
            <w:tcW w:w="5670" w:type="dxa"/>
            <w:shd w:val="clear" w:color="auto" w:fill="12110E"/>
            <w:vAlign w:val="center"/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FFFFFF"/>
                <w:sz w:val="18"/>
                <w:szCs w:val="18"/>
              </w:rPr>
              <w:t xml:space="preserve">应对措施</w:t>
            </w:r>
          </w:p>
        </w:tc>
      </w:tr>
      <w:tr>
        <w:tc>
          <w:tcPr>
            <w:tcW w:w="3400" w:type="dxa"/>
            <w:vAlign w:val="center"/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12110E"/>
              </w:rPr>
              <w:t xml:space="preserve">需求变更频繁</w:t>
            </w:r>
          </w:p>
        </w:tc>
        <w:tc>
          <w:tcPr>
            <w:tcW w:w="5670" w:type="dxa"/>
            <w:vAlign w:val="center"/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</w:rPr>
              <w:t xml:space="preserve">设定清晰的评审节点与变更流程，超出范围的需求另行评估工时。</w:t>
            </w:r>
          </w:p>
        </w:tc>
      </w:tr>
      <w:tr>
        <w:tc>
          <w:tcPr>
            <w:tcW w:w="3400" w:type="dxa"/>
            <w:vAlign w:val="center"/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12110E"/>
              </w:rPr>
              <w:t xml:space="preserve">审美预期不一致</w:t>
            </w:r>
          </w:p>
        </w:tc>
        <w:tc>
          <w:tcPr>
            <w:tcW w:w="5670" w:type="dxa"/>
            <w:vAlign w:val="center"/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</w:rPr>
              <w:t xml:space="preserve">前期充分对齐视觉气质，提供多方向初稿供决策，减少返工。</w:t>
            </w:r>
          </w:p>
        </w:tc>
      </w:tr>
      <w:tr>
        <w:tc>
          <w:tcPr>
            <w:tcW w:w="3400" w:type="dxa"/>
            <w:vAlign w:val="center"/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12110E"/>
              </w:rPr>
              <w:t xml:space="preserve">进度延误</w:t>
            </w:r>
          </w:p>
        </w:tc>
        <w:tc>
          <w:tcPr>
            <w:tcW w:w="5670" w:type="dxa"/>
            <w:vAlign w:val="center"/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</w:rPr>
              <w:t xml:space="preserve">固定周会同步进度，关键节点预留缓冲，风险早发现早处理。</w:t>
            </w:r>
          </w:p>
        </w:tc>
      </w:tr>
      <w:tr>
        <w:tc>
          <w:tcPr>
            <w:tcW w:w="3400" w:type="dxa"/>
            <w:vAlign w:val="center"/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12110E"/>
              </w:rPr>
              <w:t xml:space="preserve">交付标准模糊</w:t>
            </w:r>
          </w:p>
        </w:tc>
        <w:tc>
          <w:tcPr>
            <w:tcW w:w="5670" w:type="dxa"/>
            <w:vAlign w:val="center"/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</w:rPr>
              <w:t xml:space="preserve">合同附交付清单与验收标准，逐项确认，责任清晰。</w:t>
            </w:r>
          </w:p>
        </w:tc>
      </w:tr>
    </w:tbl>
    <w:p>
      <w:pPr>
        <w:pStyle w:val="Heading2"/>
      </w:pPr>
      <w:r>
        <w:rPr>
          <w:rFonts w:ascii="微软雅黑" w:hAnsi="微软雅黑" w:eastAsia="微软雅黑"/>
          <w:b/>
          <w:sz w:val="26"/>
          <w:szCs w:val="26"/>
        </w:rPr>
        <w:t xml:space="preserve">7.1 质量保障承诺</w:t>
      </w:r>
    </w:p>
    <w:p>
      <w:pPr>
        <w:spacing w:after="120" w:line="340" w:lineRule="auto"/>
      </w:pPr>
      <w:r>
        <w:rPr>
          <w:rFonts w:ascii="微软雅黑" w:hAnsi="微软雅黑" w:eastAsia="微软雅黑"/>
          <w:color w:val="403D36"/>
          <w:sz w:val="21"/>
          <w:szCs w:val="21"/>
        </w:rPr>
        <w:t xml:space="preserve">我们承诺在项目周期内提供不少于两轮的方案修改，交付后提供 30 天的免费微调支持，确保成果真正可用、落地无忧。</w:t>
      </w:r>
    </w:p>
    <w:p>
      <w:pPr>
        <w:pStyle w:val="Heading1"/>
      </w:pPr>
      <w:r>
        <w:rPr>
          <w:rFonts w:ascii="宋体" w:hAnsi="宋体" w:eastAsia="宋体"/>
          <w:color w:val="C4362A"/>
          <w:sz w:val="34"/>
          <w:szCs w:val="34"/>
        </w:rPr>
        <w:t xml:space="preserve">08　</w:t>
      </w:r>
      <w:r>
        <w:rPr>
          <w:rFonts w:ascii="宋体" w:hAnsi="宋体" w:eastAsia="宋体"/>
          <w:b/>
          <w:sz w:val="34"/>
          <w:szCs w:val="34"/>
        </w:rPr>
        <w:t xml:space="preserve">预期成果</w:t>
      </w:r>
    </w:p>
    <w:p>
      <w:pPr>
        <w:spacing w:after="200"/>
      </w:pPr>
      <w:r>
        <w:rPr>
          <w:rFonts w:ascii="微软雅黑" w:hAnsi="微软雅黑" w:eastAsia="微软雅黑"/>
          <w:caps/>
          <w:spacing w:val="40"/>
          <w:color w:val="9A968C"/>
          <w:sz w:val="16"/>
          <w:szCs w:val="16"/>
        </w:rPr>
        <w:t xml:space="preserve">Expected Outcomes</w:t>
      </w:r>
    </w:p>
    <w:tbl>
      <w:tblPr>
        <w:tblW w:w="9070" w:type="dxa"/>
        <w:tblBorders>
          <w:top w:val="single" w:sz="4" w:color="D8D4CA"/>
          <w:left w:val="none" w:sz="0" w:color="auto"/>
          <w:bottom w:val="single" w:sz="4" w:color="D8D4CA"/>
          <w:right w:val="none" w:sz="0" w:color="auto"/>
          <w:insideH w:val="single" w:sz="4" w:color="E4DFD4"/>
          <w:insideV w:val="none" w:sz="0" w:color="auto"/>
        </w:tblBorders>
        <w:tblCellMar>
          <w:top w:w="120" w:type="dxa"/>
          <w:bottom w:w="120" w:type="dxa"/>
          <w:left w:w="120" w:type="dxa"/>
          <w:right w:w="120" w:type="dxa"/>
        </w:tblCellMar>
        <w:tblLook w:val="0420"/>
      </w:tblPr>
      <w:tblGrid>
        <w:gridCol w:w="6600"/>
        <w:gridCol w:w="2470"/>
      </w:tblGrid>
      <w:tr>
        <w:tc>
          <w:tcPr>
            <w:tcW w:w="6600" w:type="dxa"/>
            <w:shd w:val="clear" w:color="auto" w:fill="12110E"/>
            <w:vAlign w:val="center"/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FFFFFF"/>
                <w:sz w:val="18"/>
                <w:szCs w:val="18"/>
              </w:rPr>
              <w:t xml:space="preserve">成果</w:t>
            </w:r>
          </w:p>
        </w:tc>
        <w:tc>
          <w:tcPr>
            <w:tcW w:w="2470" w:type="dxa"/>
            <w:shd w:val="clear" w:color="auto" w:fill="12110E"/>
            <w:vAlign w:val="center"/>
          </w:tcPr>
          <w:p>
            <w:pPr>
              <w:spacing w:before="20" w:after="20"/>
              <w:jc w:val="right"/>
            </w:pPr>
            <w:r>
              <w:rPr>
                <w:rFonts w:ascii="微软雅黑" w:hAnsi="微软雅黑" w:eastAsia="微软雅黑"/>
                <w:b/>
                <w:color w:val="FFFFFF"/>
                <w:sz w:val="18"/>
                <w:szCs w:val="18"/>
              </w:rPr>
              <w:t xml:space="preserve">量化</w:t>
            </w:r>
          </w:p>
        </w:tc>
      </w:tr>
      <w:tr>
        <w:tc>
          <w:tcPr>
            <w:tcW w:w="6600" w:type="dxa"/>
            <w:vAlign w:val="center"/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</w:rPr>
              <w:t xml:space="preserve">完整可延展的品牌视觉系统</w:t>
            </w:r>
          </w:p>
        </w:tc>
        <w:tc>
          <w:tcPr>
            <w:tcW w:w="2470" w:type="dxa"/>
            <w:vAlign w:val="center"/>
          </w:tcPr>
          <w:p>
            <w:pPr>
              <w:spacing w:before="20" w:after="20"/>
              <w:jc w:val="right"/>
            </w:pPr>
            <w:r>
              <w:rPr>
                <w:rFonts w:ascii="微软雅黑" w:hAnsi="微软雅黑" w:eastAsia="微软雅黑"/>
                <w:b/>
                <w:color w:val="C4362A"/>
                <w:sz w:val="24"/>
                <w:szCs w:val="24"/>
              </w:rPr>
              <w:t xml:space="preserve">1 套</w:t>
            </w:r>
          </w:p>
        </w:tc>
      </w:tr>
      <w:tr>
        <w:tc>
          <w:tcPr>
            <w:tcW w:w="6600" w:type="dxa"/>
            <w:vAlign w:val="center"/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</w:rPr>
              <w:t xml:space="preserve">标准化应用模板与物料</w:t>
            </w:r>
          </w:p>
        </w:tc>
        <w:tc>
          <w:tcPr>
            <w:tcW w:w="2470" w:type="dxa"/>
            <w:vAlign w:val="center"/>
          </w:tcPr>
          <w:p>
            <w:pPr>
              <w:spacing w:before="20" w:after="20"/>
              <w:jc w:val="right"/>
            </w:pPr>
            <w:r>
              <w:rPr>
                <w:rFonts w:ascii="微软雅黑" w:hAnsi="微软雅黑" w:eastAsia="微软雅黑"/>
                <w:b/>
                <w:color w:val="C4362A"/>
                <w:sz w:val="24"/>
                <w:szCs w:val="24"/>
              </w:rPr>
              <w:t xml:space="preserve">20+</w:t>
            </w:r>
          </w:p>
        </w:tc>
      </w:tr>
      <w:tr>
        <w:tc>
          <w:tcPr>
            <w:tcW w:w="6600" w:type="dxa"/>
            <w:vAlign w:val="center"/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</w:rPr>
              <w:t xml:space="preserve">源文件与资产可复用交付</w:t>
            </w:r>
          </w:p>
        </w:tc>
        <w:tc>
          <w:tcPr>
            <w:tcW w:w="2470" w:type="dxa"/>
            <w:vAlign w:val="center"/>
          </w:tcPr>
          <w:p>
            <w:pPr>
              <w:spacing w:before="20" w:after="20"/>
              <w:jc w:val="right"/>
            </w:pPr>
            <w:r>
              <w:rPr>
                <w:rFonts w:ascii="微软雅黑" w:hAnsi="微软雅黑" w:eastAsia="微软雅黑"/>
                <w:b/>
                <w:color w:val="C4362A"/>
                <w:sz w:val="24"/>
                <w:szCs w:val="24"/>
              </w:rPr>
              <w:t xml:space="preserve">100%</w:t>
            </w:r>
          </w:p>
        </w:tc>
      </w:tr>
      <w:tr>
        <w:tc>
          <w:tcPr>
            <w:tcW w:w="6600" w:type="dxa"/>
            <w:vAlign w:val="center"/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</w:rPr>
              <w:t xml:space="preserve">交付后免费微调支持期</w:t>
            </w:r>
          </w:p>
        </w:tc>
        <w:tc>
          <w:tcPr>
            <w:tcW w:w="2470" w:type="dxa"/>
            <w:vAlign w:val="center"/>
          </w:tcPr>
          <w:p>
            <w:pPr>
              <w:spacing w:before="20" w:after="20"/>
              <w:jc w:val="right"/>
            </w:pPr>
            <w:r>
              <w:rPr>
                <w:rFonts w:ascii="微软雅黑" w:hAnsi="微软雅黑" w:eastAsia="微软雅黑"/>
                <w:b/>
                <w:color w:val="C4362A"/>
                <w:sz w:val="24"/>
                <w:szCs w:val="24"/>
              </w:rPr>
              <w:t xml:space="preserve">30 天</w:t>
            </w:r>
          </w:p>
        </w:tc>
      </w:tr>
    </w:tbl>
    <w:p>
      <w:pPr>
        <w:pStyle w:val="Heading2"/>
      </w:pPr>
      <w:r>
        <w:rPr>
          <w:rFonts w:ascii="微软雅黑" w:hAnsi="微软雅黑" w:eastAsia="微软雅黑"/>
          <w:b/>
          <w:sz w:val="26"/>
          <w:szCs w:val="26"/>
        </w:rPr>
        <w:t xml:space="preserve">8.1 长期价值</w:t>
      </w:r>
    </w:p>
    <w:p>
      <w:pPr>
        <w:spacing w:after="120" w:line="340" w:lineRule="auto"/>
      </w:pPr>
      <w:r>
        <w:rPr>
          <w:rFonts w:ascii="微软雅黑" w:hAnsi="微软雅黑" w:eastAsia="微软雅黑"/>
          <w:color w:val="403D36"/>
          <w:sz w:val="21"/>
          <w:szCs w:val="21"/>
        </w:rPr>
        <w:t xml:space="preserve">项目完成后，XX 将拥有一套自洽、可持续维护的品牌视觉资产。它不仅解决当下的形象升级需求，更为未来的产品拓展、市场传播与品牌延展提供坚实的视觉底座，让每一次品牌沟通都更高效、更一致。</w:t>
      </w:r>
    </w:p>
    <w:p>
      <w:pPr>
        <w:pStyle w:val="Heading1"/>
      </w:pPr>
      <w:r>
        <w:rPr>
          <w:rFonts w:ascii="宋体" w:hAnsi="宋体" w:eastAsia="宋体"/>
          <w:color w:val="C4362A"/>
          <w:sz w:val="34"/>
          <w:szCs w:val="34"/>
        </w:rPr>
        <w:t xml:space="preserve">09　</w:t>
      </w:r>
      <w:r>
        <w:rPr>
          <w:rFonts w:ascii="宋体" w:hAnsi="宋体" w:eastAsia="宋体"/>
          <w:b/>
          <w:sz w:val="34"/>
          <w:szCs w:val="34"/>
        </w:rPr>
        <w:t xml:space="preserve">附录</w:t>
      </w:r>
    </w:p>
    <w:p>
      <w:pPr>
        <w:spacing w:after="200"/>
      </w:pPr>
      <w:r>
        <w:rPr>
          <w:rFonts w:ascii="微软雅黑" w:hAnsi="微软雅黑" w:eastAsia="微软雅黑"/>
          <w:caps/>
          <w:spacing w:val="40"/>
          <w:color w:val="9A968C"/>
          <w:sz w:val="16"/>
          <w:szCs w:val="16"/>
        </w:rPr>
        <w:t xml:space="preserve">Appendix</w:t>
      </w:r>
    </w:p>
    <w:p>
      <w:pPr>
        <w:pStyle w:val="Heading2"/>
      </w:pPr>
      <w:r>
        <w:rPr>
          <w:rFonts w:ascii="微软雅黑" w:hAnsi="微软雅黑" w:eastAsia="微软雅黑"/>
          <w:b/>
          <w:sz w:val="26"/>
          <w:szCs w:val="26"/>
        </w:rPr>
        <w:t xml:space="preserve">A. 术语表</w:t>
      </w:r>
    </w:p>
    <w:tbl>
      <w:tblPr>
        <w:tblW w:w="9070" w:type="dxa"/>
        <w:tblBorders>
          <w:top w:val="single" w:sz="4" w:color="D8D4CA"/>
          <w:left w:val="none" w:sz="0" w:color="auto"/>
          <w:bottom w:val="single" w:sz="4" w:color="D8D4CA"/>
          <w:right w:val="none" w:sz="0" w:color="auto"/>
          <w:insideH w:val="single" w:sz="4" w:color="E4DFD4"/>
          <w:insideV w:val="none" w:sz="0" w:color="auto"/>
        </w:tblBorders>
        <w:tblCellMar>
          <w:top w:w="120" w:type="dxa"/>
          <w:bottom w:w="120" w:type="dxa"/>
          <w:left w:w="120" w:type="dxa"/>
          <w:right w:w="120" w:type="dxa"/>
        </w:tblCellMar>
        <w:tblLook w:val="0420"/>
      </w:tblPr>
      <w:tblGrid>
        <w:gridCol w:w="2600"/>
        <w:gridCol w:w="6470"/>
      </w:tblGrid>
      <w:tr>
        <w:tc>
          <w:tcPr>
            <w:tcW w:w="2600" w:type="dxa"/>
            <w:shd w:val="clear" w:color="auto" w:fill="12110E"/>
            <w:vAlign w:val="center"/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FFFFFF"/>
                <w:sz w:val="18"/>
                <w:szCs w:val="18"/>
              </w:rPr>
              <w:t xml:space="preserve">术语</w:t>
            </w:r>
          </w:p>
        </w:tc>
        <w:tc>
          <w:tcPr>
            <w:tcW w:w="6470" w:type="dxa"/>
            <w:shd w:val="clear" w:color="auto" w:fill="12110E"/>
            <w:vAlign w:val="center"/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FFFFFF"/>
                <w:sz w:val="18"/>
                <w:szCs w:val="18"/>
              </w:rPr>
              <w:t xml:space="preserve">释义</w:t>
            </w:r>
          </w:p>
        </w:tc>
      </w:tr>
      <w:tr>
        <w:tc>
          <w:tcPr>
            <w:tcW w:w="2600" w:type="dxa"/>
            <w:vAlign w:val="center"/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12110E"/>
              </w:rPr>
              <w:t xml:space="preserve">VI</w:t>
            </w:r>
          </w:p>
        </w:tc>
        <w:tc>
          <w:tcPr>
            <w:tcW w:w="6470" w:type="dxa"/>
            <w:vAlign w:val="center"/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</w:rPr>
              <w:t xml:space="preserve">视觉识别系统，Visual Identity</w:t>
            </w:r>
          </w:p>
        </w:tc>
      </w:tr>
      <w:tr>
        <w:tc>
          <w:tcPr>
            <w:tcW w:w="2600" w:type="dxa"/>
            <w:vAlign w:val="center"/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12110E"/>
              </w:rPr>
              <w:t xml:space="preserve">Logotype</w:t>
            </w:r>
          </w:p>
        </w:tc>
        <w:tc>
          <w:tcPr>
            <w:tcW w:w="6470" w:type="dxa"/>
            <w:vAlign w:val="center"/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</w:rPr>
              <w:t xml:space="preserve">以文字为主体的标志形式</w:t>
            </w:r>
          </w:p>
        </w:tc>
      </w:tr>
      <w:tr>
        <w:tc>
          <w:tcPr>
            <w:tcW w:w="2600" w:type="dxa"/>
            <w:vAlign w:val="center"/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12110E"/>
              </w:rPr>
              <w:t xml:space="preserve">Clear Space</w:t>
            </w:r>
          </w:p>
        </w:tc>
        <w:tc>
          <w:tcPr>
            <w:tcW w:w="6470" w:type="dxa"/>
            <w:vAlign w:val="center"/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</w:rPr>
              <w:t xml:space="preserve">标志周围的最小留白保护区</w:t>
            </w:r>
          </w:p>
        </w:tc>
      </w:tr>
      <w:tr>
        <w:tc>
          <w:tcPr>
            <w:tcW w:w="2600" w:type="dxa"/>
            <w:vAlign w:val="center"/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12110E"/>
              </w:rPr>
              <w:t xml:space="preserve">Grid</w:t>
            </w:r>
          </w:p>
        </w:tc>
        <w:tc>
          <w:tcPr>
            <w:tcW w:w="6470" w:type="dxa"/>
            <w:vAlign w:val="center"/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</w:rPr>
              <w:t xml:space="preserve">用于对齐与排版的栅格系统</w:t>
            </w:r>
          </w:p>
        </w:tc>
      </w:tr>
    </w:tbl>
    <w:p>
      <w:pPr>
        <w:pStyle w:val="Heading2"/>
      </w:pPr>
      <w:r>
        <w:rPr>
          <w:rFonts w:ascii="微软雅黑" w:hAnsi="微软雅黑" w:eastAsia="微软雅黑"/>
          <w:b/>
          <w:sz w:val="26"/>
          <w:szCs w:val="26"/>
        </w:rPr>
        <w:t xml:space="preserve">B. 交付格式说明</w:t>
      </w:r>
    </w:p>
    <w:p>
      <w:pPr>
        <w:spacing w:after="120" w:line="340" w:lineRule="auto"/>
      </w:pPr>
      <w:r>
        <w:rPr>
          <w:rFonts w:ascii="微软雅黑" w:hAnsi="微软雅黑" w:eastAsia="微软雅黑"/>
          <w:color w:val="403D36"/>
          <w:sz w:val="21"/>
          <w:szCs w:val="21"/>
        </w:rPr>
        <w:t xml:space="preserve">矢量源文件（AI / EPS / SVG）· 位图（PNG / JPG）· 文档（PDF）· 设计源文件（FIG）· 办公模板（PPTX / DOCX）。</w:t>
      </w:r>
    </w:p>
    <w:p>
      <w:pPr>
        <w:spacing w:before="400"/>
        <w:jc w:val="center"/>
      </w:pPr>
      <w:r>
        <w:rPr>
          <w:rFonts w:ascii="微软雅黑" w:hAnsi="微软雅黑" w:eastAsia="微软雅黑"/>
          <w:color w:val="9A968C"/>
          <w:sz w:val="20"/>
          <w:szCs w:val="20"/>
        </w:rPr>
        <w:t xml:space="preserve">—— 感谢您的阅读，期待与您携手 ——</w:t>
      </w:r>
    </w:p>
    <w:p>
      <w:pPr>
        <w:sectPr>
          <w:footerReference w:type="default" r:id="rId2"/>
          <w:footerReference w:type="first" r:id="rId4"/>
          <w:titlePg/>
          <w:pgSz w:w="11906" w:h="16838"/>
          <w:pgMar w:top="1440" w:right="1418" w:bottom="1440" w:left="1418" w:header="720" w:footer="600" w:gutter="0"/>
          <w:cols w:space="425"/>
          <w:docGrid w:linePitch="360"/>
        </w:sectPr>
      </w:pPr>
    </w:p>
  </w:body>
</w:document>
</file>

<file path=word/footer1.xml><?xml version="1.0" encoding="utf-8"?>
<w:ftr xmlns:w="http://schemas.openxmlformats.org/wordprocessingml/2006/main">
  <w:p>
    <w:pPr>
      <w:pBdr>
        <w:top w:val="single" w:sz="4" w:space="6" w:color="9A968C"/>
      </w:pBdr>
      <w:tabs>
        <w:tab w:val="right" w:pos="9070"/>
      </w:tabs>
    </w:pPr>
    <w:r>
      <w:rPr>
        <w:rFonts w:ascii="微软雅黑" w:hAnsi="微软雅黑" w:eastAsia="微软雅黑"/>
        <w:color w:val="9A968C"/>
        <w:sz w:val="16"/>
      </w:rPr>
      <w:t>邬晓峰 · WU XIAOFENG　·　机密 CONFIDENTIAL</w:t>
    </w:r>
    <w:r>
      <w:tab/>
    </w:r>
    <w:r>
      <w:rPr>
        <w:color w:val="9A968C"/>
        <w:sz w:val="16"/>
      </w:rPr>
      <w:t xml:space="preserve">第 </w:t>
    </w:r>
    <w:fldSimple w:instr=" PAGE ">
      <w:r>
        <w:rPr>
          <w:color w:val="12110E"/>
          <w:sz w:val="16"/>
        </w:rPr>
        <w:t>1</w:t>
      </w:r>
    </w:fldSimple>
    <w:r>
      <w:rPr>
        <w:color w:val="9A968C"/>
        <w:sz w:val="16"/>
      </w:rPr>
      <w:t xml:space="preserve"> 页 / 共 </w:t>
    </w:r>
    <w:fldSimple w:instr=" NUMPAGES ">
      <w:r>
        <w:rPr>
          <w:color w:val="9A968C"/>
          <w:sz w:val="16"/>
        </w:rPr>
        <w:t>16</w:t>
      </w:r>
    </w:fldSimple>
    <w:r>
      <w:rPr>
        <w:color w:val="9A968C"/>
        <w:sz w:val="16"/>
      </w:rPr>
      <w:t xml:space="preserve"> 页</w:t>
    </w:r>
  </w:p>
</w:ftr>
</file>

<file path=word/footer2.xml><?xml version="1.0" encoding="utf-8"?>
<w:ftr xmlns:w="http://schemas.openxmlformats.org/wordprocessingml/2006/main">
  <w:p/>
</w:ftr>
</file>

<file path=word/styles.xml><?xml version="1.0" encoding="utf-8"?>
<w:styles xmlns:w="http://schemas.openxmlformats.org/wordprocessingml/2006/main">
  <w:docDefaults>
    <w:rPrDefault>
      <w:rPr>
        <w:rFonts w:ascii="微软雅黑" w:hAnsi="微软雅黑" w:eastAsia="微软雅黑" w:cs="微软雅黑"/>
        <w:sz w:val="21"/>
        <w:szCs w:val="21"/>
      </w:rPr>
    </w:rPrDefault>
    <w:pPrDefault>
      <w:pPr>
        <w:spacing w:line="336" w:lineRule="auto" w:after="120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pageBreakBefore/>
      <w:spacing w:before="120" w:after="60"/>
      <w:outlineLvl w:val="0"/>
    </w:pPr>
    <w:rPr>
      <w:rFonts w:ascii="宋体" w:hAnsi="宋体" w:eastAsia="宋体"/>
      <w:b/>
      <w:color w:val="12110E"/>
      <w:sz w:val="34"/>
      <w:szCs w:val="34"/>
    </w:rPr>
  </w:style>
  <w:style w:type="paragraph" w:styleId="Heading2">
    <w:name w:val="heading 2"/>
    <w:basedOn w:val="Normal"/>
    <w:next w:val="Normal"/>
    <w:qFormat/>
    <w:pPr>
      <w:pBdr>
        <w:left w:val="single" w:sz="18" w:space="8" w:color="C4362A"/>
      </w:pBdr>
      <w:spacing w:before="240" w:after="120"/>
      <w:outlineLvl w:val="1"/>
    </w:pPr>
    <w:rPr>
      <w:rFonts w:ascii="微软雅黑" w:hAnsi="微软雅黑" w:eastAsia="微软雅黑"/>
      <w:b/>
      <w:color w:val="12110E"/>
      <w:sz w:val="26"/>
      <w:szCs w:val="26"/>
    </w:rPr>
  </w:style>
  <w:style w:type="character" w:styleId="Hyperlink">
    <w:name w:val="Hyperlink"/>
    <w:rPr>
      <w:color w:val="C4362A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4" Type="http://schemas.openxmlformats.org/officeDocument/2006/relationships/footer" Target="footer2.xml"/></Relationships>
</file>